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A2CA5" w14:textId="77777777" w:rsidR="00471395" w:rsidRPr="005D452E" w:rsidRDefault="00471395" w:rsidP="005D452E">
      <w:pPr>
        <w:pStyle w:val="Els-Affiliation"/>
      </w:pPr>
    </w:p>
    <w:p w14:paraId="144DE67F" w14:textId="34311DC2" w:rsidR="00DD3D9E" w:rsidRPr="00EC4A19" w:rsidRDefault="00EC4A19" w:rsidP="00EC4A19">
      <w:pPr>
        <w:pStyle w:val="Els-Author"/>
        <w:rPr>
          <w:b/>
          <w:noProof w:val="0"/>
          <w:color w:val="000000" w:themeColor="text1"/>
          <w:sz w:val="32"/>
        </w:rPr>
      </w:pPr>
      <w:r w:rsidRPr="006B1BC6">
        <w:rPr>
          <w:b/>
          <w:noProof w:val="0"/>
          <w:color w:val="000000" w:themeColor="text1"/>
          <w:sz w:val="32"/>
        </w:rPr>
        <w:t xml:space="preserve">A Comparative Study of ORC </w:t>
      </w:r>
      <w:r>
        <w:rPr>
          <w:b/>
          <w:noProof w:val="0"/>
          <w:color w:val="000000" w:themeColor="text1"/>
          <w:sz w:val="32"/>
        </w:rPr>
        <w:t xml:space="preserve">Working </w:t>
      </w:r>
      <w:r w:rsidRPr="006B1BC6">
        <w:rPr>
          <w:b/>
          <w:noProof w:val="0"/>
          <w:color w:val="000000" w:themeColor="text1"/>
          <w:sz w:val="32"/>
        </w:rPr>
        <w:t>Fluids</w:t>
      </w:r>
      <w:r>
        <w:rPr>
          <w:b/>
          <w:noProof w:val="0"/>
          <w:color w:val="000000" w:themeColor="text1"/>
          <w:sz w:val="32"/>
        </w:rPr>
        <w:t xml:space="preserve"> Performance</w:t>
      </w:r>
      <w:r w:rsidRPr="006B1BC6">
        <w:rPr>
          <w:b/>
          <w:noProof w:val="0"/>
          <w:color w:val="000000" w:themeColor="text1"/>
          <w:sz w:val="32"/>
        </w:rPr>
        <w:t xml:space="preserve"> in </w:t>
      </w:r>
      <w:r>
        <w:rPr>
          <w:b/>
          <w:noProof w:val="0"/>
          <w:color w:val="000000" w:themeColor="text1"/>
          <w:sz w:val="32"/>
        </w:rPr>
        <w:t xml:space="preserve">Ultra Low-Grade </w:t>
      </w:r>
      <w:r w:rsidRPr="006B1BC6">
        <w:rPr>
          <w:b/>
          <w:noProof w:val="0"/>
          <w:color w:val="000000" w:themeColor="text1"/>
          <w:sz w:val="32"/>
        </w:rPr>
        <w:t>Waste Heat Recovery</w:t>
      </w:r>
      <w:r w:rsidR="003A7CA7">
        <w:rPr>
          <w:b/>
          <w:noProof w:val="0"/>
          <w:color w:val="000000" w:themeColor="text1"/>
          <w:sz w:val="32"/>
        </w:rPr>
        <w:t xml:space="preserve"> from Data Centres</w:t>
      </w:r>
    </w:p>
    <w:p w14:paraId="587C2160" w14:textId="77777777" w:rsidR="00EC4A19" w:rsidRPr="004824D3" w:rsidRDefault="00EC4A19" w:rsidP="00EC4A19">
      <w:pPr>
        <w:pStyle w:val="Els-Author"/>
        <w:rPr>
          <w:lang w:val="fr-CH"/>
        </w:rPr>
      </w:pPr>
      <w:r w:rsidRPr="004824D3">
        <w:rPr>
          <w:lang w:val="fr-CH"/>
        </w:rPr>
        <w:t>Sai Sudharshan Ravi</w:t>
      </w:r>
      <w:r w:rsidRPr="004824D3">
        <w:rPr>
          <w:vertAlign w:val="superscript"/>
          <w:lang w:val="fr-CH"/>
        </w:rPr>
        <w:t>a*</w:t>
      </w:r>
      <w:r w:rsidRPr="004824D3">
        <w:rPr>
          <w:lang w:val="fr-CH"/>
        </w:rPr>
        <w:t>, Daniel Alexander Florez Orrego</w:t>
      </w:r>
      <w:r w:rsidRPr="004824D3">
        <w:rPr>
          <w:vertAlign w:val="superscript"/>
          <w:lang w:val="fr-CH"/>
        </w:rPr>
        <w:t>a</w:t>
      </w:r>
      <w:r w:rsidRPr="004824D3">
        <w:rPr>
          <w:lang w:val="fr-CH"/>
        </w:rPr>
        <w:t>, Shivom Sharma</w:t>
      </w:r>
      <w:r w:rsidRPr="004824D3">
        <w:rPr>
          <w:vertAlign w:val="superscript"/>
          <w:lang w:val="fr-CH"/>
        </w:rPr>
        <w:t>a</w:t>
      </w:r>
      <w:r w:rsidRPr="004824D3">
        <w:rPr>
          <w:lang w:val="fr-CH"/>
        </w:rPr>
        <w:t>, Francois Merchal</w:t>
      </w:r>
      <w:r w:rsidRPr="004824D3">
        <w:rPr>
          <w:vertAlign w:val="superscript"/>
          <w:lang w:val="fr-CH"/>
        </w:rPr>
        <w:t>a</w:t>
      </w:r>
    </w:p>
    <w:p w14:paraId="2D194C99" w14:textId="77777777" w:rsidR="00EC4A19" w:rsidRPr="006B1BC6" w:rsidRDefault="00EC4A19" w:rsidP="00EC4A19">
      <w:pPr>
        <w:pStyle w:val="Els-Affiliation"/>
        <w:rPr>
          <w:lang w:val="fr-CH"/>
        </w:rPr>
      </w:pPr>
      <w:r>
        <w:rPr>
          <w:vertAlign w:val="superscript"/>
          <w:lang w:val="fr-CH"/>
        </w:rPr>
        <w:t>a</w:t>
      </w:r>
      <w:r w:rsidRPr="006B1BC6">
        <w:rPr>
          <w:lang w:val="fr-CH"/>
        </w:rPr>
        <w:t>École polytechnique fédérale de Lausanne</w:t>
      </w:r>
    </w:p>
    <w:p w14:paraId="3E9C5290" w14:textId="71133C06" w:rsidR="00EC4A19" w:rsidRPr="006B1BC6" w:rsidRDefault="00000000" w:rsidP="00EC4A19">
      <w:pPr>
        <w:pStyle w:val="Els-Affiliation"/>
        <w:spacing w:after="120"/>
        <w:rPr>
          <w:lang w:val="en-US"/>
        </w:rPr>
      </w:pPr>
      <w:hyperlink r:id="rId8" w:history="1">
        <w:r w:rsidR="00C831B3" w:rsidRPr="004F551A">
          <w:rPr>
            <w:rStyle w:val="Hyperlink"/>
            <w:lang w:val="en-US"/>
          </w:rPr>
          <w:t>sai.ravi@epfl.ch</w:t>
        </w:r>
      </w:hyperlink>
    </w:p>
    <w:p w14:paraId="0E183502" w14:textId="77777777" w:rsidR="00EC4A19" w:rsidRDefault="00EC4A19" w:rsidP="00EC4A19">
      <w:pPr>
        <w:pStyle w:val="Els-Abstract"/>
      </w:pPr>
      <w:r>
        <w:t>Abstract</w:t>
      </w:r>
    </w:p>
    <w:p w14:paraId="340A8BBE" w14:textId="1345EB3D" w:rsidR="00EC4A19" w:rsidRDefault="00EC4A19" w:rsidP="008D2649">
      <w:pPr>
        <w:pStyle w:val="Els-body-text"/>
        <w:spacing w:after="120"/>
      </w:pPr>
      <w:r w:rsidRPr="006B1BC6">
        <w:t xml:space="preserve">The </w:t>
      </w:r>
      <w:r w:rsidRPr="004D393E">
        <w:t>inc</w:t>
      </w:r>
      <w:r>
        <w:t xml:space="preserve">reasing growth of </w:t>
      </w:r>
      <w:r w:rsidRPr="006B1BC6">
        <w:t>data centers worldwide has ushered in an era of unprecedented data processing and storage capabilities. As data centers play a pivotal role in the</w:t>
      </w:r>
      <w:r w:rsidRPr="004D393E">
        <w:t xml:space="preserve"> </w:t>
      </w:r>
      <w:r w:rsidR="00F83E99">
        <w:t>ever-increasing</w:t>
      </w:r>
      <w:r>
        <w:t xml:space="preserve"> use of cloud computing, social media</w:t>
      </w:r>
      <w:r w:rsidRPr="006B1BC6">
        <w:t>,</w:t>
      </w:r>
      <w:r w:rsidRPr="004D393E">
        <w:t xml:space="preserve"> </w:t>
      </w:r>
      <w:r>
        <w:t xml:space="preserve">and online services in general, </w:t>
      </w:r>
      <w:r w:rsidRPr="006B1BC6">
        <w:t>their energy consumption continues to rise</w:t>
      </w:r>
      <w:r w:rsidRPr="00C81306">
        <w:t>, accoun</w:t>
      </w:r>
      <w:r>
        <w:t>ting up to 1-1.13% of the global electricity demand</w:t>
      </w:r>
      <w:r w:rsidRPr="006B1BC6">
        <w:t xml:space="preserve">. </w:t>
      </w:r>
      <w:r w:rsidR="00C831B3" w:rsidRPr="005D452E">
        <w:rPr>
          <w:color w:val="000000" w:themeColor="text1"/>
        </w:rPr>
        <w:t>Data centers produce low-grade heat</w:t>
      </w:r>
      <w:r w:rsidR="00C831B3" w:rsidRPr="005D452E">
        <w:rPr>
          <w:color w:val="FF0000"/>
        </w:rPr>
        <w:t xml:space="preserve">. </w:t>
      </w:r>
      <w:r w:rsidRPr="004D393E">
        <w:t>T</w:t>
      </w:r>
      <w:r w:rsidRPr="006B1BC6">
        <w:t>he energy-intensive operations of data centers have spurred a growing interest in waste heat recovery technologies as a means to enhance energy efficiency</w:t>
      </w:r>
      <w:r w:rsidRPr="004D393E">
        <w:t xml:space="preserve"> </w:t>
      </w:r>
      <w:r>
        <w:t xml:space="preserve">by usage of this waste </w:t>
      </w:r>
      <w:r w:rsidR="00C831B3">
        <w:t xml:space="preserve">heat </w:t>
      </w:r>
      <w:r>
        <w:t>for electricity generation and district heating</w:t>
      </w:r>
      <w:r w:rsidRPr="006B1BC6">
        <w:t>.</w:t>
      </w:r>
      <w:r w:rsidRPr="002E1C64">
        <w:t xml:space="preserve"> </w:t>
      </w:r>
      <w:r w:rsidRPr="006B1BC6">
        <w:t>Th</w:t>
      </w:r>
      <w:r w:rsidR="00C831B3" w:rsidRPr="005D452E">
        <w:t>is</w:t>
      </w:r>
      <w:r w:rsidRPr="006B1BC6">
        <w:t xml:space="preserve"> study examines the waste heat potential of </w:t>
      </w:r>
      <w:r w:rsidRPr="00C81306">
        <w:t>a 5</w:t>
      </w:r>
      <w:r>
        <w:t xml:space="preserve">MW </w:t>
      </w:r>
      <w:r w:rsidRPr="006B1BC6">
        <w:t>data center</w:t>
      </w:r>
      <w:r w:rsidRPr="00C81306">
        <w:t xml:space="preserve"> that </w:t>
      </w:r>
      <w:r w:rsidRPr="002E1C64">
        <w:t>prima</w:t>
      </w:r>
      <w:r>
        <w:t xml:space="preserve">rily employs liquid chip-level cooling to </w:t>
      </w:r>
      <w:r w:rsidRPr="006B1BC6">
        <w:t>convert waste heat into electricity</w:t>
      </w:r>
      <w:r w:rsidRPr="00C81306">
        <w:t xml:space="preserve"> u</w:t>
      </w:r>
      <w:r>
        <w:t>sing an organic Rankine cycle (ORC)</w:t>
      </w:r>
      <w:r w:rsidRPr="006B1BC6">
        <w:t>.</w:t>
      </w:r>
      <w:r w:rsidRPr="00C81306">
        <w:t xml:space="preserve"> </w:t>
      </w:r>
      <w:r w:rsidRPr="006B1BC6">
        <w:t xml:space="preserve">By comparing the </w:t>
      </w:r>
      <w:r>
        <w:t xml:space="preserve">performances </w:t>
      </w:r>
      <w:r w:rsidRPr="006B1BC6">
        <w:t xml:space="preserve">of </w:t>
      </w:r>
      <w:r w:rsidRPr="00C81306">
        <w:t>diff</w:t>
      </w:r>
      <w:r>
        <w:t xml:space="preserve">erent </w:t>
      </w:r>
      <w:r w:rsidRPr="006B1BC6">
        <w:t>working fluids</w:t>
      </w:r>
      <w:r w:rsidRPr="00C81306">
        <w:t xml:space="preserve"> such as</w:t>
      </w:r>
      <w:r>
        <w:t xml:space="preserve"> R245fa (dry), R134a (wet) and R1234zeE (isentropic)</w:t>
      </w:r>
      <w:r w:rsidRPr="00C81306">
        <w:t xml:space="preserve"> </w:t>
      </w:r>
      <w:r>
        <w:t xml:space="preserve">in ORC systems optimized to have the lowest </w:t>
      </w:r>
      <w:r w:rsidR="00C831B3">
        <w:t xml:space="preserve">operating </w:t>
      </w:r>
      <w:r>
        <w:t>cost, this study attempts to understand the operating conditions that maximize the energy savings and improve the Energy Reuse Efficiency (ERE) indicator in datacenters, aiming to reduce the environmental impact</w:t>
      </w:r>
      <w:r>
        <w:rPr>
          <w:lang w:val="en-GB"/>
        </w:rPr>
        <w:t>.</w:t>
      </w:r>
    </w:p>
    <w:p w14:paraId="452B060C" w14:textId="2E6C27BC" w:rsidR="00AB29ED" w:rsidRPr="00EC4A19" w:rsidRDefault="00EC4A19" w:rsidP="008D2649">
      <w:pPr>
        <w:pStyle w:val="Els-body-text"/>
        <w:spacing w:after="120"/>
      </w:pPr>
      <w:r>
        <w:rPr>
          <w:b/>
          <w:bCs/>
          <w:lang w:val="en-GB"/>
        </w:rPr>
        <w:t>Keywords</w:t>
      </w:r>
      <w:r>
        <w:rPr>
          <w:lang w:val="en-GB"/>
        </w:rPr>
        <w:t xml:space="preserve">: Data Centres, ORC </w:t>
      </w:r>
      <w:r w:rsidR="00C831B3">
        <w:rPr>
          <w:lang w:val="en-GB"/>
        </w:rPr>
        <w:t xml:space="preserve">System, </w:t>
      </w:r>
      <w:r>
        <w:rPr>
          <w:lang w:val="en-GB"/>
        </w:rPr>
        <w:t>Working fluids, System Modelling.</w:t>
      </w:r>
    </w:p>
    <w:p w14:paraId="29A03584" w14:textId="77777777" w:rsidR="00EC4A19" w:rsidRDefault="00EC4A19" w:rsidP="00EC4A19">
      <w:pPr>
        <w:pStyle w:val="Els-1storder-head"/>
      </w:pPr>
      <w:r>
        <w:t>Introduction and background</w:t>
      </w:r>
    </w:p>
    <w:p w14:paraId="0231D2C3" w14:textId="311CF572" w:rsidR="00EC4A19" w:rsidRDefault="00EC4A19" w:rsidP="00EC4A19">
      <w:pPr>
        <w:pStyle w:val="Els-body-text"/>
      </w:pPr>
      <w:r w:rsidRPr="00AC7B86">
        <w:t xml:space="preserve">In an era dominated by the unprecedented proliferation of digital data; data centers have emerged as the linchpin of our global information ecosystem. However, the digital renaissance comes with a daunting challenge—the efficient management of the substantial waste heat produced by data centers. </w:t>
      </w:r>
      <w:r w:rsidRPr="00287A11">
        <w:t xml:space="preserve">The </w:t>
      </w:r>
      <w:r>
        <w:t>EU has set a goal for the year 2030 in which it aims to reduce the greenhouse gas (GHG) emissions by 40%</w:t>
      </w:r>
      <w:r>
        <w:fldChar w:fldCharType="begin"/>
      </w:r>
      <w:r>
        <w:instrText xml:space="preserve"> ADDIN ZOTERO_ITEM CSL_CITATION {"citationID":"Y2MDAovo","properties":{"formattedCitation":"\\super 1\\nosupersub{}","plainCitation":"1","noteIndex":0},"citationItems":[{"id":7669,"uris":["http://zotero.org/users/12656915/items/42Q7GQD8"],"itemData":{"id":7669,"type":"webpage","abstract":"Read what measures the European Union is taking to meet targets to reduce carbon emissions as part of the Fit for 55 in 2030 package.","language":"en","title":"Reducing carbon emissions: EU targets and policies | News | European Parliament","title-short":"Reducing carbon emissions","URL":"https://www.europarl.europa.eu/news/en/headlines/society/20180305STO99003/reducing-carbon-emissions-eu-targets-and-policies","accessed":{"date-parts":[["2023",10,31]]},"issued":{"date-parts":[["2018",8,3]]}}}],"schema":"https://github.com/citation-style-language/schema/raw/master/csl-citation.json"} </w:instrText>
      </w:r>
      <w:r>
        <w:fldChar w:fldCharType="separate"/>
      </w:r>
      <w:r w:rsidRPr="008748E0">
        <w:rPr>
          <w:vertAlign w:val="superscript"/>
          <w:lang w:val="en-GB"/>
        </w:rPr>
        <w:t>1</w:t>
      </w:r>
      <w:r>
        <w:fldChar w:fldCharType="end"/>
      </w:r>
      <w:r>
        <w:t xml:space="preserve">. A large amount of this could be reduced by reducing the energy consumption of the district heating (DH) systems. Waste heat from the data </w:t>
      </w:r>
      <w:proofErr w:type="spellStart"/>
      <w:r>
        <w:t>centres</w:t>
      </w:r>
      <w:proofErr w:type="spellEnd"/>
      <w:r>
        <w:t xml:space="preserve"> offers the opportunity to reduce the DH load and thereby reducing the overall energy consumption for DH</w:t>
      </w:r>
      <w:r w:rsidR="00BF4BF1">
        <w:t>, as discussed by Oro et al (2019)</w:t>
      </w:r>
      <w:r>
        <w:fldChar w:fldCharType="begin"/>
      </w:r>
      <w:r>
        <w:instrText xml:space="preserve"> ADDIN ZOTERO_ITEM CSL_CITATION {"citationID":"AAnx2MUK","properties":{"formattedCitation":"\\super 2\\nosupersub{}","plainCitation":"2","noteIndex":0},"citationItems":[{"id":7671,"uris":["http://zotero.org/users/12656915/items/ERAAURTL"],"itemData":{"id":7671,"type":"article-journal","container-title":"Sustainable cities and society","note":"publisher: Elsevier","page":"522–542","title":"Waste heat recovery from urban air cooled data centres to increase energy efficiency of district heating networks","volume":"45","author":[{"family":"Oro","given":"Eduard"},{"family":"Taddeo","given":"Paolo"},{"family":"Salom","given":"Jaume"}],"issued":{"date-parts":[["2019"]]}}}],"schema":"https://github.com/citation-style-language/schema/raw/master/csl-citation.json"} </w:instrText>
      </w:r>
      <w:r>
        <w:fldChar w:fldCharType="separate"/>
      </w:r>
      <w:r w:rsidRPr="008748E0">
        <w:rPr>
          <w:vertAlign w:val="superscript"/>
          <w:lang w:val="en-GB"/>
        </w:rPr>
        <w:t>2</w:t>
      </w:r>
      <w:r>
        <w:fldChar w:fldCharType="end"/>
      </w:r>
      <w:r>
        <w:t xml:space="preserve">. The heat available from the data centers would still be available during summer when there is not much need for direct heating applications. This heat could then be used to produce electricity by the use of an organic Rankine cycle (ORC). Figure 1 (a) shows a simple schematic diagram of how the waste heat from the data </w:t>
      </w:r>
      <w:proofErr w:type="spellStart"/>
      <w:r>
        <w:t>centre</w:t>
      </w:r>
      <w:proofErr w:type="spellEnd"/>
      <w:r>
        <w:t xml:space="preserve"> can be used to </w:t>
      </w:r>
      <w:r>
        <w:lastRenderedPageBreak/>
        <w:t xml:space="preserve">produce work using an ORC. In this study we intend to analyze different working fluids, which are selected for the case of data centers using a prescreening tool suggested in </w:t>
      </w:r>
      <w:proofErr w:type="spellStart"/>
      <w:r w:rsidRPr="008748E0">
        <w:rPr>
          <w:color w:val="000000" w:themeColor="text1"/>
        </w:rPr>
        <w:t>Kermani</w:t>
      </w:r>
      <w:proofErr w:type="spellEnd"/>
      <w:r w:rsidRPr="008748E0">
        <w:rPr>
          <w:color w:val="000000" w:themeColor="text1"/>
        </w:rPr>
        <w:t xml:space="preserve"> et. a</w:t>
      </w:r>
      <w:r>
        <w:rPr>
          <w:color w:val="000000" w:themeColor="text1"/>
        </w:rPr>
        <w:t>l</w:t>
      </w:r>
      <w:r w:rsidR="00BF4BF1">
        <w:rPr>
          <w:color w:val="000000" w:themeColor="text1"/>
        </w:rPr>
        <w:t xml:space="preserve"> (2018)</w:t>
      </w:r>
      <w:r>
        <w:rPr>
          <w:color w:val="000000" w:themeColor="text1"/>
        </w:rPr>
        <w:fldChar w:fldCharType="begin"/>
      </w:r>
      <w:r>
        <w:rPr>
          <w:color w:val="000000" w:themeColor="text1"/>
        </w:rPr>
        <w:instrText xml:space="preserve"> ADDIN ZOTERO_ITEM CSL_CITATION {"citationID":"1mDFkP0Q","properties":{"formattedCitation":"\\super 3\\nosupersub{}","plainCitation":"3","noteIndex":0},"citationItems":[{"id":7657,"uris":["http://zotero.org/users/12656915/items/TELHYBAL"],"itemData":{"id":7657,"type":"article-journal","container-title":"Applied energy","note":"publisher: Elsevier","page":"1203–1225","title":"Generic superstructure synthesis of organic Rankine cycles for waste heat recovery in industrial processes","volume":"212","author":[{"family":"Kermani","given":"Maziar"},{"family":"Wallerand","given":"Anna S"},{"family":"Kantor","given":"Ivan D"},{"family":"Maréchal","given":"François"}],"issued":{"date-parts":[["2018"]]}}}],"schema":"https://github.com/citation-style-language/schema/raw/master/csl-citation.json"} </w:instrText>
      </w:r>
      <w:r>
        <w:rPr>
          <w:color w:val="000000" w:themeColor="text1"/>
        </w:rPr>
        <w:fldChar w:fldCharType="separate"/>
      </w:r>
      <w:r w:rsidRPr="008748E0">
        <w:rPr>
          <w:color w:val="000000"/>
          <w:vertAlign w:val="superscript"/>
          <w:lang w:val="en-GB"/>
        </w:rPr>
        <w:t>3</w:t>
      </w:r>
      <w:r>
        <w:rPr>
          <w:color w:val="000000" w:themeColor="text1"/>
        </w:rPr>
        <w:fldChar w:fldCharType="end"/>
      </w:r>
      <w:r>
        <w:t>, in an ORC superstructure that operates optimally between 5 different pressure levels by optimizing the overall operating cost of the system</w:t>
      </w:r>
      <w:r w:rsidRPr="00AC7B86">
        <w:t>.</w:t>
      </w:r>
      <w:r w:rsidRPr="00256E9D">
        <w:t xml:space="preserve"> </w:t>
      </w:r>
      <w:r>
        <w:t>The choice of working fluid becomes critical to the ORC’s efficiency</w:t>
      </w:r>
      <w:r w:rsidR="00BF4BF1">
        <w:t>, as discussed by Herath et. al (2020)</w:t>
      </w:r>
      <w:r>
        <w:fldChar w:fldCharType="begin"/>
      </w:r>
      <w:r>
        <w:instrText xml:space="preserve"> ADDIN ZOTERO_ITEM CSL_CITATION {"citationID":"nvW8pNjQ","properties":{"formattedCitation":"\\super 4\\nosupersub{}","plainCitation":"4","noteIndex":0},"citationItems":[{"id":7672,"uris":["http://zotero.org/users/12656915/items/JEKVK23U"],"itemData":{"id":7672,"type":"article-journal","abstract":"Organic Rankine Cycles (ORCs) are identified as one of the best candidates to generate electricity from low-grade heat sources. ORCs operate on low temperatures and low pressures with comparative to conventional Rankine Cycles. Therefore, organic fluids or refrigerants can be used as the working fluids for ORC applications, instead of water, which is more suitable for high-pressure and high-temperature applications. The performance and the system design of the ORC system are entirely dependent on the working fluid, and hence, working fluid selection for ORCs is utmost important for a particular application, i.e. solar thermal, geothermal or waste heat recovery. Performance of the ORCs for seven (07) working fluids: R-134a, R-245fa, Benzene, Methanol, Ethanol, Acetone and Propane (R-290) have been studied during this work. Results of the study show that Benzene and Methanol based ORC systems perform more efficiently with comparative to the other working fluids considered in the analysis and, they require lower fluid mass flowrates per unit of power generation relative to other fluids used in the analysis.","collection-title":"2020 The 7th International Conference on Power and Energy Systems Engineering","container-title":"Energy Reports","DOI":"10.1016/j.egyr.2020.11.150","ISSN":"2352-4847","journalAbbreviation":"Energy Reports","page":"680-686","source":"ScienceDirect","title":"Working fluid selection of Organic Rankine Cycles","volume":"6","author":[{"family":"Herath","given":"H. M. D. P."},{"family":"Wijewardane","given":"M. A."},{"family":"Ranasinghe","given":"R. A. C. P."},{"family":"Jayasekera","given":"J. G. A. S."}],"issued":{"date-parts":[["2020",12,1]]}}}],"schema":"https://github.com/citation-style-language/schema/raw/master/csl-citation.json"} </w:instrText>
      </w:r>
      <w:r>
        <w:fldChar w:fldCharType="separate"/>
      </w:r>
      <w:r w:rsidRPr="008748E0">
        <w:rPr>
          <w:vertAlign w:val="superscript"/>
          <w:lang w:val="en-GB"/>
        </w:rPr>
        <w:t>4</w:t>
      </w:r>
      <w:r>
        <w:fldChar w:fldCharType="end"/>
      </w:r>
      <w:r>
        <w:t xml:space="preserve">. The working fluids are largely classified as dry, wet and isentropic fluids. Figure 1 (b), (c) and (d), show the TS diagram </w:t>
      </w:r>
      <w:r w:rsidR="00C328A2">
        <w:t xml:space="preserve">of </w:t>
      </w:r>
      <w:r>
        <w:t>these fluids along with a simple ORC with superheating for dry, wet and isentropic fluids correspondingly.</w:t>
      </w:r>
    </w:p>
    <w:p w14:paraId="6D118574" w14:textId="77777777" w:rsidR="00EC4A19" w:rsidRDefault="00EC4A19" w:rsidP="00EC4A19">
      <w:pPr>
        <w:pStyle w:val="Els-body-text"/>
      </w:pPr>
    </w:p>
    <w:p w14:paraId="433AB8CE" w14:textId="3ED0A0A3" w:rsidR="00EC4A19" w:rsidRDefault="00EC4A19" w:rsidP="00EC4A19">
      <w:pPr>
        <w:pStyle w:val="Els-body-text"/>
      </w:pPr>
      <w:r>
        <w:rPr>
          <w:noProof/>
        </w:rPr>
        <w:drawing>
          <wp:inline distT="0" distB="0" distL="0" distR="0" wp14:anchorId="64AF52F9" wp14:editId="1F629131">
            <wp:extent cx="4499610" cy="2983213"/>
            <wp:effectExtent l="0" t="0" r="0" b="0"/>
            <wp:docPr id="18732247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224780" name="Picture 1873224780"/>
                    <pic:cNvPicPr/>
                  </pic:nvPicPr>
                  <pic:blipFill rotWithShape="1">
                    <a:blip r:embed="rId9" cstate="print">
                      <a:extLst>
                        <a:ext uri="{28A0092B-C50C-407E-A947-70E740481C1C}">
                          <a14:useLocalDpi xmlns:a14="http://schemas.microsoft.com/office/drawing/2010/main" val="0"/>
                        </a:ext>
                      </a:extLst>
                    </a:blip>
                    <a:srcRect r="11226"/>
                    <a:stretch/>
                  </pic:blipFill>
                  <pic:spPr bwMode="auto">
                    <a:xfrm>
                      <a:off x="0" y="0"/>
                      <a:ext cx="4499610" cy="2983213"/>
                    </a:xfrm>
                    <a:prstGeom prst="rect">
                      <a:avLst/>
                    </a:prstGeom>
                    <a:ln>
                      <a:noFill/>
                    </a:ln>
                    <a:extLst>
                      <a:ext uri="{53640926-AAD7-44D8-BBD7-CCE9431645EC}">
                        <a14:shadowObscured xmlns:a14="http://schemas.microsoft.com/office/drawing/2010/main"/>
                      </a:ext>
                    </a:extLst>
                  </pic:spPr>
                </pic:pic>
              </a:graphicData>
            </a:graphic>
          </wp:inline>
        </w:drawing>
      </w:r>
    </w:p>
    <w:p w14:paraId="35E94256" w14:textId="77777777" w:rsidR="00EC4A19" w:rsidRDefault="00EC4A19" w:rsidP="00EC4A19">
      <w:pPr>
        <w:pStyle w:val="Els-body-text"/>
      </w:pPr>
    </w:p>
    <w:p w14:paraId="1F05BABE" w14:textId="77777777" w:rsidR="00EC4A19" w:rsidRPr="008A5A89" w:rsidRDefault="00EC4A19" w:rsidP="00EC4A19">
      <w:pPr>
        <w:pStyle w:val="Els-body-text"/>
        <w:rPr>
          <w:i/>
          <w:iCs/>
        </w:rPr>
      </w:pPr>
      <w:r w:rsidRPr="008A5A89">
        <w:rPr>
          <w:i/>
          <w:iCs/>
        </w:rPr>
        <w:t xml:space="preserve">Figure 1 (a) A schematic diagram of simple Organic Rankine Cycle (b) TS diagram for a dry working fluid (c) TS diagram for a wet working fluid (d) TS diagram for an isentropic working fluid </w:t>
      </w:r>
    </w:p>
    <w:p w14:paraId="0D9B6F33" w14:textId="77777777" w:rsidR="00EC4A19" w:rsidRPr="00EC4A19" w:rsidRDefault="00EC4A19" w:rsidP="00EC4A19">
      <w:pPr>
        <w:pStyle w:val="Els-body-text"/>
      </w:pPr>
    </w:p>
    <w:p w14:paraId="7102EFD9" w14:textId="46E4E090" w:rsidR="00EC4A19" w:rsidRDefault="00B72BA1" w:rsidP="00F83E99">
      <w:pPr>
        <w:pStyle w:val="Els-1storder-head"/>
      </w:pPr>
      <w:r>
        <w:t>Problem Formulation</w:t>
      </w:r>
    </w:p>
    <w:p w14:paraId="71025ADD" w14:textId="07CB5A22" w:rsidR="00EC4A19" w:rsidRDefault="00EC4A19" w:rsidP="00EC4A19">
      <w:pPr>
        <w:pStyle w:val="Els-body-text"/>
        <w:rPr>
          <w:lang w:val="en-GB"/>
        </w:rPr>
      </w:pPr>
      <w:r w:rsidRPr="008D3D2B">
        <w:rPr>
          <w:lang w:val="en-GB"/>
        </w:rPr>
        <w:t>In this study, we focus on harnessing the</w:t>
      </w:r>
      <w:r>
        <w:rPr>
          <w:lang w:val="en-GB"/>
        </w:rPr>
        <w:t xml:space="preserve"> </w:t>
      </w:r>
      <w:r w:rsidRPr="008D3D2B">
        <w:rPr>
          <w:lang w:val="en-GB"/>
        </w:rPr>
        <w:t xml:space="preserve">potential of </w:t>
      </w:r>
      <w:r w:rsidRPr="005D452E">
        <w:rPr>
          <w:lang w:val="en-GB"/>
        </w:rPr>
        <w:t>R134a</w:t>
      </w:r>
      <w:r w:rsidR="004D4331" w:rsidRPr="005D452E">
        <w:rPr>
          <w:lang w:val="en-GB"/>
        </w:rPr>
        <w:t xml:space="preserve"> (wet)</w:t>
      </w:r>
      <w:r w:rsidRPr="005D452E">
        <w:rPr>
          <w:lang w:val="en-GB"/>
        </w:rPr>
        <w:t>, R245fa</w:t>
      </w:r>
      <w:r w:rsidR="004D4331" w:rsidRPr="005D452E">
        <w:rPr>
          <w:lang w:val="en-GB"/>
        </w:rPr>
        <w:t xml:space="preserve"> (dry)</w:t>
      </w:r>
      <w:r w:rsidRPr="005D452E">
        <w:rPr>
          <w:lang w:val="en-GB"/>
        </w:rPr>
        <w:t>, and R1234zeE</w:t>
      </w:r>
      <w:r w:rsidR="004D4331">
        <w:rPr>
          <w:lang w:val="en-GB"/>
        </w:rPr>
        <w:t xml:space="preserve"> (isentropic)</w:t>
      </w:r>
      <w:r w:rsidRPr="008D3D2B">
        <w:rPr>
          <w:lang w:val="en-GB"/>
        </w:rPr>
        <w:t xml:space="preserve"> within the context of ultra-low heat recovery applications, specifically in conjunction with a data </w:t>
      </w:r>
      <w:proofErr w:type="spellStart"/>
      <w:r w:rsidRPr="008D3D2B">
        <w:rPr>
          <w:lang w:val="en-GB"/>
        </w:rPr>
        <w:t>center's</w:t>
      </w:r>
      <w:proofErr w:type="spellEnd"/>
      <w:r w:rsidRPr="008D3D2B">
        <w:rPr>
          <w:lang w:val="en-GB"/>
        </w:rPr>
        <w:t xml:space="preserve"> waste heat. Our primary objective is to leverage these three distinct refrigerants, each optimized </w:t>
      </w:r>
      <w:r>
        <w:rPr>
          <w:lang w:val="en-GB"/>
        </w:rPr>
        <w:t xml:space="preserve">for heat integration using OSMOSE, </w:t>
      </w:r>
      <w:r w:rsidR="00C328A2">
        <w:rPr>
          <w:lang w:val="en-GB"/>
        </w:rPr>
        <w:t xml:space="preserve">a decision support </w:t>
      </w:r>
      <w:r>
        <w:rPr>
          <w:lang w:val="en-GB"/>
        </w:rPr>
        <w:t>tool</w:t>
      </w:r>
      <w:r w:rsidRPr="008D3D2B">
        <w:rPr>
          <w:lang w:val="en-GB"/>
        </w:rPr>
        <w:t xml:space="preserve">, to maximize energy recovery from the data </w:t>
      </w:r>
      <w:proofErr w:type="spellStart"/>
      <w:r w:rsidRPr="008D3D2B">
        <w:rPr>
          <w:lang w:val="en-GB"/>
        </w:rPr>
        <w:t>center</w:t>
      </w:r>
      <w:proofErr w:type="spellEnd"/>
      <w:r w:rsidRPr="008D3D2B">
        <w:rPr>
          <w:lang w:val="en-GB"/>
        </w:rPr>
        <w:t xml:space="preserve">, maintained at a steady temperature of 85 </w:t>
      </w:r>
      <w:proofErr w:type="spellStart"/>
      <w:r w:rsidR="00B70BE7">
        <w:rPr>
          <w:vertAlign w:val="superscript"/>
          <w:lang w:val="en-GB"/>
        </w:rPr>
        <w:t>o</w:t>
      </w:r>
      <w:r w:rsidR="00C328A2">
        <w:rPr>
          <w:lang w:val="en-GB"/>
        </w:rPr>
        <w:t>C</w:t>
      </w:r>
      <w:r w:rsidRPr="008D3D2B">
        <w:rPr>
          <w:lang w:val="en-GB"/>
        </w:rPr>
        <w:t>.</w:t>
      </w:r>
      <w:proofErr w:type="spellEnd"/>
      <w:r w:rsidRPr="008D3D2B">
        <w:rPr>
          <w:lang w:val="en-GB"/>
        </w:rPr>
        <w:t xml:space="preserve"> Complementing this, we utilize </w:t>
      </w:r>
      <w:r>
        <w:rPr>
          <w:lang w:val="en-GB"/>
        </w:rPr>
        <w:t xml:space="preserve">lake </w:t>
      </w:r>
      <w:r w:rsidRPr="008D3D2B">
        <w:rPr>
          <w:lang w:val="en-GB"/>
        </w:rPr>
        <w:t>water as our cold source, with an assumed inlet temperature of 15</w:t>
      </w:r>
      <w:r w:rsidR="00B70BE7">
        <w:rPr>
          <w:vertAlign w:val="superscript"/>
          <w:lang w:val="en-GB"/>
        </w:rPr>
        <w:t>o</w:t>
      </w:r>
      <w:r w:rsidR="00C328A2">
        <w:rPr>
          <w:lang w:val="en-GB"/>
        </w:rPr>
        <w:t>C</w:t>
      </w:r>
      <w:r w:rsidRPr="008D3D2B">
        <w:rPr>
          <w:lang w:val="en-GB"/>
        </w:rPr>
        <w:t xml:space="preserve">. This temperature differential between the heat source and the cold source forms the crux of our integrated composite curve, </w:t>
      </w:r>
      <w:r>
        <w:rPr>
          <w:lang w:val="en-GB"/>
        </w:rPr>
        <w:t>allowing us to</w:t>
      </w:r>
      <w:r w:rsidRPr="008D3D2B">
        <w:rPr>
          <w:lang w:val="en-GB"/>
        </w:rPr>
        <w:t xml:space="preserve"> efficiently extract and convert waste heat into</w:t>
      </w:r>
      <w:r>
        <w:rPr>
          <w:lang w:val="en-GB"/>
        </w:rPr>
        <w:t xml:space="preserve"> electricity</w:t>
      </w:r>
      <w:r w:rsidR="004A0CC1">
        <w:rPr>
          <w:lang w:val="en-GB"/>
        </w:rPr>
        <w:t xml:space="preserve"> which is then either to partially power the data centre again or integrated to the grid as shown in Figure 2</w:t>
      </w:r>
      <w:r w:rsidRPr="008D3D2B">
        <w:rPr>
          <w:lang w:val="en-GB"/>
        </w:rPr>
        <w:t xml:space="preserve">. By focusing on this temperature range, our research seeks to </w:t>
      </w:r>
      <w:r>
        <w:rPr>
          <w:lang w:val="en-GB"/>
        </w:rPr>
        <w:t>better understand factors that affect</w:t>
      </w:r>
      <w:r w:rsidRPr="008D3D2B">
        <w:rPr>
          <w:lang w:val="en-GB"/>
        </w:rPr>
        <w:t xml:space="preserve"> ultra-low heat recovery and promote sustainable energy </w:t>
      </w:r>
      <w:r w:rsidRPr="008D3D2B">
        <w:rPr>
          <w:lang w:val="en-GB"/>
        </w:rPr>
        <w:lastRenderedPageBreak/>
        <w:t xml:space="preserve">practices within data </w:t>
      </w:r>
      <w:proofErr w:type="spellStart"/>
      <w:r w:rsidRPr="008D3D2B">
        <w:rPr>
          <w:lang w:val="en-GB"/>
        </w:rPr>
        <w:t>center</w:t>
      </w:r>
      <w:proofErr w:type="spellEnd"/>
      <w:r w:rsidRPr="008D3D2B">
        <w:rPr>
          <w:lang w:val="en-GB"/>
        </w:rPr>
        <w:t xml:space="preserve"> operations</w:t>
      </w:r>
      <w:r w:rsidR="00BF4BF1">
        <w:rPr>
          <w:lang w:val="en-GB"/>
        </w:rPr>
        <w:t xml:space="preserve">, as discussed by </w:t>
      </w:r>
      <w:proofErr w:type="spellStart"/>
      <w:r w:rsidR="00BF4BF1">
        <w:rPr>
          <w:lang w:val="en-GB"/>
        </w:rPr>
        <w:t>Montalya</w:t>
      </w:r>
      <w:proofErr w:type="spellEnd"/>
      <w:r w:rsidR="00BF4BF1">
        <w:rPr>
          <w:lang w:val="en-GB"/>
        </w:rPr>
        <w:t xml:space="preserve"> et al (2023)</w:t>
      </w:r>
      <w:r>
        <w:rPr>
          <w:lang w:val="en-GB"/>
        </w:rPr>
        <w:fldChar w:fldCharType="begin"/>
      </w:r>
      <w:r>
        <w:rPr>
          <w:lang w:val="en-GB"/>
        </w:rPr>
        <w:instrText xml:space="preserve"> ADDIN ZOTERO_ITEM CSL_CITATION {"citationID":"GHImLaEe","properties":{"formattedCitation":"\\super 5\\nosupersub{}","plainCitation":"5","noteIndex":0},"citationItems":[{"id":7678,"uris":["http://zotero.org/users/12656915/items/AX3AIRYK"],"itemData":{"id":7678,"type":"article-journal","abstract":"In this research work, the Stanford Energy System Innovations action plan is adapted to the decarbonization of the Universitat Politècnica de València, of the Mediterranean coast of Spain. Special focus is dedicated to waste heat recovery from a data centre located on campus with an almost constant cooling demand throughout the year, amounting to a yearly 1,661,020 kWh. To recover the waste heat generated by the data centre, a method for assessing thermal performance of the system is presented, which is implemented by selecting a 300 kW polyvalent heat pump (capable of easily switching from water-to-water to air-to-water working modes). It can simultaneously provide cooling and heating to a set of strategically identified buildings on the campus: the university data centre and three buildings located nearby that currently use the university’s central natural gas boilers for heating. A thermal storage system is designed to balance the cooling and heating needs. The results lead to potential thermal energy savings of more than 254,106 kWh/year, and a consequent reduction in CO2 emissions of at least 64,035 kg/year, supporting the decarbonization of the Vera campus. The outcomes of the study can help to design similar research projects applied to large data centres in Mediterranean cities.","container-title":"Energy Conversion and Management","DOI":"10.1016/j.enconman.2023.117212","ISSN":"0196-8904","journalAbbreviation":"Energy Conversion and Management","page":"117212","source":"ScienceDirect","title":"Recovery of waste heat from data centres for decarbonisation of university campuses in a Mediterranean climate","volume":"290","author":[{"family":"Montagud-Montalvá","given":"C."},{"family":"Navarro-Peris","given":"E."},{"family":"Gómez-Navarro","given":"T."},{"family":"Masip-Sanchis","given":"X."},{"family":"Prades-Gil","given":"C."}],"issued":{"date-parts":[["2023",8,15]]}}}],"schema":"https://github.com/citation-style-language/schema/raw/master/csl-citation.json"} </w:instrText>
      </w:r>
      <w:r>
        <w:rPr>
          <w:lang w:val="en-GB"/>
        </w:rPr>
        <w:fldChar w:fldCharType="separate"/>
      </w:r>
      <w:r w:rsidRPr="008748E0">
        <w:rPr>
          <w:vertAlign w:val="superscript"/>
          <w:lang w:val="en-GB"/>
        </w:rPr>
        <w:t>5</w:t>
      </w:r>
      <w:r>
        <w:rPr>
          <w:lang w:val="en-GB"/>
        </w:rPr>
        <w:fldChar w:fldCharType="end"/>
      </w:r>
      <w:r>
        <w:rPr>
          <w:lang w:val="en-GB"/>
        </w:rPr>
        <w:t>. Some of the key fluid properties of the different fluids chosen for this study are summarised in Table 1</w:t>
      </w:r>
    </w:p>
    <w:p w14:paraId="0645FA5A" w14:textId="77777777" w:rsidR="00EC4A19" w:rsidRDefault="00EC4A19" w:rsidP="00EC4A19">
      <w:pPr>
        <w:pStyle w:val="Els-body-text"/>
        <w:rPr>
          <w:lang w:val="en-GB"/>
        </w:rPr>
      </w:pPr>
    </w:p>
    <w:p w14:paraId="1E88C0EF" w14:textId="71B1AC49" w:rsidR="00EC4A19" w:rsidRPr="00F10697" w:rsidRDefault="00EC4A19" w:rsidP="00EC4A19">
      <w:pPr>
        <w:pStyle w:val="Els-body-text"/>
        <w:jc w:val="center"/>
        <w:rPr>
          <w:i/>
          <w:iCs/>
        </w:rPr>
      </w:pPr>
      <w:r w:rsidRPr="00F10697">
        <w:rPr>
          <w:i/>
          <w:iCs/>
        </w:rPr>
        <w:t>Table 1: Summary of working fluids chosen for ORC</w:t>
      </w:r>
      <w:r w:rsidR="00BF4BF1">
        <w:rPr>
          <w:i/>
          <w:iCs/>
        </w:rPr>
        <w:t>. Bell et. al (2014)</w:t>
      </w:r>
      <w:r>
        <w:rPr>
          <w:i/>
          <w:iCs/>
        </w:rPr>
        <w:t xml:space="preserve"> </w:t>
      </w:r>
      <w:r>
        <w:rPr>
          <w:i/>
          <w:iCs/>
        </w:rPr>
        <w:fldChar w:fldCharType="begin"/>
      </w:r>
      <w:r>
        <w:rPr>
          <w:i/>
          <w:iCs/>
        </w:rPr>
        <w:instrText xml:space="preserve"> ADDIN ZOTERO_ITEM CSL_CITATION {"citationID":"0XSknwTy","properties":{"formattedCitation":"\\super 6\\nosupersub{}","plainCitation":"6","noteIndex":0},"citationItems":[{"id":7665,"uris":["http://zotero.org/users/12656915/items/9XRGIXAD"],"itemData":{"id":7665,"type":"article-journal","container-title":"Industrial &amp; Engineering Chemistry Research","DOI":"10.1021/ie4033999","issue":"6","note":"_eprint: http://pubs.acs.org/doi/pdf/10.1021/ie4033999","page":"2498-2508","title":"Pure and Pseudo-pure Fluid Thermophysical Property Evaluation and the Open-Source Thermophysical Property Library CoolProp","volume":"53","author":[{"family":"Bell","given":"Ian H."},{"family":"Wronski","given":"Jorrit"},{"family":"Quoilin","given":"Sylvain"},{"family":"Lemort","given":"Vincent"}],"issued":{"date-parts":[["2014"]]}}}],"schema":"https://github.com/citation-style-language/schema/raw/master/csl-citation.json"} </w:instrText>
      </w:r>
      <w:r>
        <w:rPr>
          <w:i/>
          <w:iCs/>
        </w:rPr>
        <w:fldChar w:fldCharType="separate"/>
      </w:r>
      <w:r w:rsidRPr="008748E0">
        <w:rPr>
          <w:vertAlign w:val="superscript"/>
          <w:lang w:val="en-GB"/>
        </w:rPr>
        <w:t>6</w:t>
      </w:r>
      <w:r>
        <w:rPr>
          <w:i/>
          <w:iCs/>
        </w:rPr>
        <w:fldChar w:fldCharType="end"/>
      </w:r>
    </w:p>
    <w:p w14:paraId="374CF445" w14:textId="77777777" w:rsidR="00EC4A19" w:rsidRDefault="00EC4A19" w:rsidP="00EC4A19">
      <w:pPr>
        <w:pStyle w:val="Els-body-text"/>
        <w:rPr>
          <w:lang w:val="en-GB"/>
        </w:rPr>
      </w:pPr>
    </w:p>
    <w:p w14:paraId="50EF19E8" w14:textId="77777777" w:rsidR="00EC4A19" w:rsidRDefault="00EC4A19" w:rsidP="00EC4A19">
      <w:pPr>
        <w:pStyle w:val="Els-body-text"/>
        <w:rPr>
          <w:lang w:val="en-GB"/>
        </w:rPr>
      </w:pPr>
    </w:p>
    <w:tbl>
      <w:tblPr>
        <w:tblStyle w:val="PlainTable1"/>
        <w:tblpPr w:leftFromText="180" w:rightFromText="180" w:vertAnchor="text" w:horzAnchor="margin" w:tblpXSpec="center" w:tblpY="-196"/>
        <w:tblW w:w="6658" w:type="dxa"/>
        <w:tblLook w:val="0420" w:firstRow="1" w:lastRow="0" w:firstColumn="0" w:lastColumn="0" w:noHBand="0" w:noVBand="1"/>
      </w:tblPr>
      <w:tblGrid>
        <w:gridCol w:w="1518"/>
        <w:gridCol w:w="1478"/>
        <w:gridCol w:w="1647"/>
        <w:gridCol w:w="2015"/>
      </w:tblGrid>
      <w:tr w:rsidR="00EC4A19" w:rsidRPr="009F31DD" w14:paraId="56405989" w14:textId="77777777" w:rsidTr="00F83E99">
        <w:trPr>
          <w:cnfStyle w:val="100000000000" w:firstRow="1" w:lastRow="0" w:firstColumn="0" w:lastColumn="0" w:oddVBand="0" w:evenVBand="0" w:oddHBand="0" w:evenHBand="0" w:firstRowFirstColumn="0" w:firstRowLastColumn="0" w:lastRowFirstColumn="0" w:lastRowLastColumn="0"/>
          <w:trHeight w:val="459"/>
        </w:trPr>
        <w:tc>
          <w:tcPr>
            <w:tcW w:w="0" w:type="dxa"/>
            <w:hideMark/>
          </w:tcPr>
          <w:p w14:paraId="1076ECDF" w14:textId="77777777" w:rsidR="00EC4A19" w:rsidRPr="003A4E4B" w:rsidRDefault="00EC4A19" w:rsidP="00FF4930">
            <w:pPr>
              <w:pStyle w:val="Els-body-text"/>
            </w:pPr>
          </w:p>
        </w:tc>
        <w:tc>
          <w:tcPr>
            <w:tcW w:w="1144" w:type="dxa"/>
            <w:hideMark/>
          </w:tcPr>
          <w:p w14:paraId="3D69F2B1" w14:textId="77777777" w:rsidR="00EC4A19" w:rsidRPr="009F31DD" w:rsidRDefault="00EC4A19" w:rsidP="00FF4930">
            <w:pPr>
              <w:pStyle w:val="Els-body-text"/>
            </w:pPr>
            <w:r w:rsidRPr="009F31DD">
              <w:t>R134a</w:t>
            </w:r>
          </w:p>
        </w:tc>
        <w:tc>
          <w:tcPr>
            <w:tcW w:w="1275" w:type="dxa"/>
            <w:hideMark/>
          </w:tcPr>
          <w:p w14:paraId="24903550" w14:textId="77777777" w:rsidR="00EC4A19" w:rsidRPr="009F31DD" w:rsidRDefault="00EC4A19" w:rsidP="00FF4930">
            <w:pPr>
              <w:pStyle w:val="Els-body-text"/>
            </w:pPr>
            <w:r w:rsidRPr="009F31DD">
              <w:t>R245fa</w:t>
            </w:r>
          </w:p>
        </w:tc>
        <w:tc>
          <w:tcPr>
            <w:tcW w:w="1560" w:type="dxa"/>
            <w:hideMark/>
          </w:tcPr>
          <w:p w14:paraId="4B59FCB4" w14:textId="77777777" w:rsidR="00EC4A19" w:rsidRPr="009F31DD" w:rsidRDefault="00EC4A19" w:rsidP="00FF4930">
            <w:pPr>
              <w:pStyle w:val="Els-body-text"/>
            </w:pPr>
            <w:r w:rsidRPr="009F31DD">
              <w:t>R1234zeE</w:t>
            </w:r>
          </w:p>
        </w:tc>
      </w:tr>
      <w:tr w:rsidR="00EC4A19" w:rsidRPr="009F31DD" w14:paraId="21E7FFA1" w14:textId="77777777" w:rsidTr="00F83E99">
        <w:trPr>
          <w:cnfStyle w:val="000000100000" w:firstRow="0" w:lastRow="0" w:firstColumn="0" w:lastColumn="0" w:oddVBand="0" w:evenVBand="0" w:oddHBand="1" w:evenHBand="0" w:firstRowFirstColumn="0" w:firstRowLastColumn="0" w:lastRowFirstColumn="0" w:lastRowLastColumn="0"/>
          <w:trHeight w:val="459"/>
        </w:trPr>
        <w:tc>
          <w:tcPr>
            <w:tcW w:w="0" w:type="dxa"/>
            <w:hideMark/>
          </w:tcPr>
          <w:p w14:paraId="7DB7B5EE" w14:textId="77777777" w:rsidR="00EC4A19" w:rsidRPr="009F31DD" w:rsidRDefault="00EC4A19" w:rsidP="00FF4930">
            <w:pPr>
              <w:pStyle w:val="Els-body-text"/>
              <w:rPr>
                <w:b/>
                <w:bCs/>
                <w:i/>
                <w:iCs/>
                <w:sz w:val="18"/>
                <w:szCs w:val="18"/>
                <w:lang w:val="fr-CH"/>
              </w:rPr>
            </w:pPr>
            <w:r w:rsidRPr="00043355">
              <w:rPr>
                <w:b/>
                <w:bCs/>
                <w:i/>
                <w:iCs/>
                <w:sz w:val="18"/>
                <w:szCs w:val="18"/>
                <w:lang w:val="fr-CH"/>
              </w:rPr>
              <w:t>Type</w:t>
            </w:r>
          </w:p>
        </w:tc>
        <w:tc>
          <w:tcPr>
            <w:tcW w:w="1144" w:type="dxa"/>
            <w:hideMark/>
          </w:tcPr>
          <w:p w14:paraId="0BCB7183" w14:textId="77777777" w:rsidR="00EC4A19" w:rsidRPr="009F31DD" w:rsidRDefault="00EC4A19" w:rsidP="00FF4930">
            <w:pPr>
              <w:pStyle w:val="Els-body-text"/>
              <w:rPr>
                <w:lang w:val="fr-CH"/>
              </w:rPr>
            </w:pPr>
            <w:proofErr w:type="spellStart"/>
            <w:r>
              <w:rPr>
                <w:lang w:val="fr-CH"/>
              </w:rPr>
              <w:t>Wet</w:t>
            </w:r>
            <w:proofErr w:type="spellEnd"/>
          </w:p>
        </w:tc>
        <w:tc>
          <w:tcPr>
            <w:tcW w:w="1275" w:type="dxa"/>
            <w:hideMark/>
          </w:tcPr>
          <w:p w14:paraId="16CE606C" w14:textId="77777777" w:rsidR="00EC4A19" w:rsidRPr="009F31DD" w:rsidRDefault="00EC4A19" w:rsidP="00FF4930">
            <w:pPr>
              <w:pStyle w:val="Els-body-text"/>
              <w:rPr>
                <w:lang w:val="fr-CH"/>
              </w:rPr>
            </w:pPr>
            <w:r>
              <w:rPr>
                <w:lang w:val="fr-CH"/>
              </w:rPr>
              <w:t>Dry</w:t>
            </w:r>
          </w:p>
        </w:tc>
        <w:tc>
          <w:tcPr>
            <w:tcW w:w="1560" w:type="dxa"/>
            <w:hideMark/>
          </w:tcPr>
          <w:p w14:paraId="0655BAB2" w14:textId="77777777" w:rsidR="00EC4A19" w:rsidRPr="009F31DD" w:rsidRDefault="00EC4A19" w:rsidP="00FF4930">
            <w:pPr>
              <w:pStyle w:val="Els-body-text"/>
              <w:rPr>
                <w:lang w:val="fr-CH"/>
              </w:rPr>
            </w:pPr>
            <w:proofErr w:type="spellStart"/>
            <w:r>
              <w:rPr>
                <w:lang w:val="fr-CH"/>
              </w:rPr>
              <w:t>Isentropic</w:t>
            </w:r>
            <w:proofErr w:type="spellEnd"/>
          </w:p>
        </w:tc>
      </w:tr>
      <w:tr w:rsidR="00EC4A19" w:rsidRPr="009F31DD" w14:paraId="77820990" w14:textId="77777777" w:rsidTr="00F83E99">
        <w:trPr>
          <w:trHeight w:val="459"/>
        </w:trPr>
        <w:tc>
          <w:tcPr>
            <w:tcW w:w="0" w:type="dxa"/>
            <w:hideMark/>
          </w:tcPr>
          <w:p w14:paraId="5C468978" w14:textId="77777777" w:rsidR="00EC4A19" w:rsidRDefault="00EC4A19" w:rsidP="00FF4930">
            <w:pPr>
              <w:pStyle w:val="Els-body-text"/>
              <w:rPr>
                <w:b/>
                <w:bCs/>
                <w:i/>
                <w:iCs/>
                <w:sz w:val="18"/>
                <w:szCs w:val="18"/>
              </w:rPr>
            </w:pPr>
            <w:r w:rsidRPr="00043355">
              <w:rPr>
                <w:b/>
                <w:bCs/>
                <w:i/>
                <w:iCs/>
                <w:sz w:val="18"/>
                <w:szCs w:val="18"/>
              </w:rPr>
              <w:t>Boiling Point</w:t>
            </w:r>
          </w:p>
          <w:p w14:paraId="1914B376" w14:textId="5D46110F" w:rsidR="00EC4A19" w:rsidRPr="009F31DD" w:rsidRDefault="00EC4A19" w:rsidP="00FF4930">
            <w:pPr>
              <w:pStyle w:val="Els-body-text"/>
              <w:rPr>
                <w:b/>
                <w:bCs/>
                <w:i/>
                <w:iCs/>
                <w:sz w:val="18"/>
                <w:szCs w:val="18"/>
              </w:rPr>
            </w:pPr>
            <w:r>
              <w:rPr>
                <w:b/>
                <w:bCs/>
                <w:i/>
                <w:iCs/>
                <w:sz w:val="18"/>
                <w:szCs w:val="18"/>
                <w:lang w:val="fr-CH"/>
              </w:rPr>
              <w:t>(</w:t>
            </w:r>
            <w:r w:rsidR="00C328A2" w:rsidRPr="005D452E">
              <w:rPr>
                <w:b/>
                <w:bCs/>
                <w:i/>
                <w:iCs/>
                <w:sz w:val="18"/>
                <w:szCs w:val="18"/>
                <w:vertAlign w:val="superscript"/>
                <w:lang w:val="fr-CH"/>
              </w:rPr>
              <w:t>0</w:t>
            </w:r>
            <w:r>
              <w:rPr>
                <w:b/>
                <w:bCs/>
                <w:i/>
                <w:iCs/>
                <w:sz w:val="18"/>
                <w:szCs w:val="18"/>
                <w:lang w:val="fr-CH"/>
              </w:rPr>
              <w:t>C)</w:t>
            </w:r>
            <w:r w:rsidRPr="00043355">
              <w:rPr>
                <w:b/>
                <w:bCs/>
                <w:i/>
                <w:iCs/>
                <w:sz w:val="18"/>
                <w:szCs w:val="18"/>
              </w:rPr>
              <w:t xml:space="preserve"> </w:t>
            </w:r>
          </w:p>
        </w:tc>
        <w:tc>
          <w:tcPr>
            <w:tcW w:w="1144" w:type="dxa"/>
            <w:hideMark/>
          </w:tcPr>
          <w:p w14:paraId="4A357ACD" w14:textId="77777777" w:rsidR="00EC4A19" w:rsidRPr="009F31DD" w:rsidRDefault="00EC4A19" w:rsidP="00FF4930">
            <w:pPr>
              <w:pStyle w:val="Els-body-text"/>
              <w:rPr>
                <w:lang w:val="fr-CH"/>
              </w:rPr>
            </w:pPr>
            <w:r>
              <w:rPr>
                <w:lang w:val="fr-CH"/>
              </w:rPr>
              <w:t>-26.3</w:t>
            </w:r>
          </w:p>
        </w:tc>
        <w:tc>
          <w:tcPr>
            <w:tcW w:w="1275" w:type="dxa"/>
            <w:hideMark/>
          </w:tcPr>
          <w:p w14:paraId="00B4E883" w14:textId="77777777" w:rsidR="00EC4A19" w:rsidRPr="009F31DD" w:rsidRDefault="00EC4A19" w:rsidP="00FF4930">
            <w:pPr>
              <w:pStyle w:val="Els-body-text"/>
              <w:rPr>
                <w:lang w:val="fr-CH"/>
              </w:rPr>
            </w:pPr>
            <w:r>
              <w:rPr>
                <w:lang w:val="fr-CH"/>
              </w:rPr>
              <w:t>14.72</w:t>
            </w:r>
          </w:p>
        </w:tc>
        <w:tc>
          <w:tcPr>
            <w:tcW w:w="1560" w:type="dxa"/>
            <w:hideMark/>
          </w:tcPr>
          <w:p w14:paraId="37489B7E" w14:textId="77777777" w:rsidR="00EC4A19" w:rsidRPr="009F31DD" w:rsidRDefault="00EC4A19" w:rsidP="00FF4930">
            <w:pPr>
              <w:pStyle w:val="Els-body-text"/>
              <w:rPr>
                <w:lang w:val="fr-CH"/>
              </w:rPr>
            </w:pPr>
            <w:r>
              <w:rPr>
                <w:lang w:val="fr-CH"/>
              </w:rPr>
              <w:t>-19.27</w:t>
            </w:r>
          </w:p>
        </w:tc>
      </w:tr>
      <w:tr w:rsidR="00EC4A19" w:rsidRPr="009F31DD" w14:paraId="3052F379" w14:textId="77777777" w:rsidTr="00F83E99">
        <w:trPr>
          <w:cnfStyle w:val="000000100000" w:firstRow="0" w:lastRow="0" w:firstColumn="0" w:lastColumn="0" w:oddVBand="0" w:evenVBand="0" w:oddHBand="1" w:evenHBand="0" w:firstRowFirstColumn="0" w:firstRowLastColumn="0" w:lastRowFirstColumn="0" w:lastRowLastColumn="0"/>
          <w:trHeight w:val="459"/>
        </w:trPr>
        <w:tc>
          <w:tcPr>
            <w:tcW w:w="0" w:type="dxa"/>
            <w:hideMark/>
          </w:tcPr>
          <w:p w14:paraId="52B5C7FB" w14:textId="77777777" w:rsidR="00EC4A19" w:rsidRDefault="00EC4A19" w:rsidP="00FF4930">
            <w:pPr>
              <w:pStyle w:val="Els-body-text"/>
              <w:rPr>
                <w:b/>
                <w:bCs/>
                <w:i/>
                <w:iCs/>
                <w:sz w:val="18"/>
                <w:szCs w:val="18"/>
                <w:lang w:val="fr-CH"/>
              </w:rPr>
            </w:pPr>
            <w:r w:rsidRPr="00043355">
              <w:rPr>
                <w:b/>
                <w:bCs/>
                <w:i/>
                <w:iCs/>
                <w:sz w:val="18"/>
                <w:szCs w:val="18"/>
                <w:lang w:val="fr-CH"/>
              </w:rPr>
              <w:t xml:space="preserve">Critical </w:t>
            </w:r>
            <w:proofErr w:type="spellStart"/>
            <w:r w:rsidRPr="00043355">
              <w:rPr>
                <w:b/>
                <w:bCs/>
                <w:i/>
                <w:iCs/>
                <w:sz w:val="18"/>
                <w:szCs w:val="18"/>
                <w:lang w:val="fr-CH"/>
              </w:rPr>
              <w:t>Temperature</w:t>
            </w:r>
            <w:proofErr w:type="spellEnd"/>
          </w:p>
          <w:p w14:paraId="22C5CCF7" w14:textId="5B36638B" w:rsidR="00EC4A19" w:rsidRPr="009F31DD" w:rsidRDefault="00EC4A19" w:rsidP="00FF4930">
            <w:pPr>
              <w:pStyle w:val="Els-body-text"/>
              <w:rPr>
                <w:b/>
                <w:bCs/>
                <w:i/>
                <w:iCs/>
                <w:sz w:val="18"/>
                <w:szCs w:val="18"/>
                <w:lang w:val="fr-CH"/>
              </w:rPr>
            </w:pPr>
            <w:r>
              <w:rPr>
                <w:b/>
                <w:bCs/>
                <w:i/>
                <w:iCs/>
                <w:sz w:val="18"/>
                <w:szCs w:val="18"/>
                <w:lang w:val="fr-CH"/>
              </w:rPr>
              <w:t>(</w:t>
            </w:r>
            <w:r w:rsidR="00C328A2" w:rsidRPr="005D452E">
              <w:rPr>
                <w:b/>
                <w:bCs/>
                <w:i/>
                <w:iCs/>
                <w:sz w:val="18"/>
                <w:szCs w:val="18"/>
                <w:vertAlign w:val="superscript"/>
                <w:lang w:val="fr-CH"/>
              </w:rPr>
              <w:t>0</w:t>
            </w:r>
            <w:r>
              <w:rPr>
                <w:b/>
                <w:bCs/>
                <w:i/>
                <w:iCs/>
                <w:sz w:val="18"/>
                <w:szCs w:val="18"/>
                <w:lang w:val="fr-CH"/>
              </w:rPr>
              <w:t>C)</w:t>
            </w:r>
          </w:p>
        </w:tc>
        <w:tc>
          <w:tcPr>
            <w:tcW w:w="1144" w:type="dxa"/>
            <w:hideMark/>
          </w:tcPr>
          <w:p w14:paraId="1954DEF9" w14:textId="77777777" w:rsidR="00EC4A19" w:rsidRPr="009F31DD" w:rsidRDefault="00EC4A19" w:rsidP="00FF4930">
            <w:pPr>
              <w:pStyle w:val="Els-body-text"/>
              <w:rPr>
                <w:lang w:val="fr-CH"/>
              </w:rPr>
            </w:pPr>
            <w:r>
              <w:rPr>
                <w:lang w:val="fr-CH"/>
              </w:rPr>
              <w:t>101.06</w:t>
            </w:r>
          </w:p>
        </w:tc>
        <w:tc>
          <w:tcPr>
            <w:tcW w:w="1275" w:type="dxa"/>
            <w:hideMark/>
          </w:tcPr>
          <w:p w14:paraId="67FAB59F" w14:textId="77777777" w:rsidR="00EC4A19" w:rsidRPr="009F31DD" w:rsidRDefault="00EC4A19" w:rsidP="00FF4930">
            <w:pPr>
              <w:pStyle w:val="Els-body-text"/>
              <w:rPr>
                <w:lang w:val="fr-CH"/>
              </w:rPr>
            </w:pPr>
            <w:r>
              <w:rPr>
                <w:lang w:val="fr-CH"/>
              </w:rPr>
              <w:t>153.86</w:t>
            </w:r>
          </w:p>
        </w:tc>
        <w:tc>
          <w:tcPr>
            <w:tcW w:w="1560" w:type="dxa"/>
            <w:hideMark/>
          </w:tcPr>
          <w:p w14:paraId="18167353" w14:textId="77777777" w:rsidR="00EC4A19" w:rsidRPr="009F31DD" w:rsidRDefault="00EC4A19" w:rsidP="00FF4930">
            <w:pPr>
              <w:pStyle w:val="Els-body-text"/>
              <w:rPr>
                <w:lang w:val="fr-CH"/>
              </w:rPr>
            </w:pPr>
            <w:r>
              <w:rPr>
                <w:lang w:val="fr-CH"/>
              </w:rPr>
              <w:t>109.37</w:t>
            </w:r>
          </w:p>
        </w:tc>
      </w:tr>
      <w:tr w:rsidR="00EC4A19" w:rsidRPr="009F31DD" w14:paraId="3310BB67" w14:textId="77777777" w:rsidTr="00F83E99">
        <w:trPr>
          <w:trHeight w:val="459"/>
        </w:trPr>
        <w:tc>
          <w:tcPr>
            <w:tcW w:w="0" w:type="dxa"/>
            <w:hideMark/>
          </w:tcPr>
          <w:p w14:paraId="795324E6" w14:textId="77777777" w:rsidR="00EC4A19" w:rsidRDefault="00EC4A19" w:rsidP="00FF4930">
            <w:pPr>
              <w:pStyle w:val="Els-body-text"/>
              <w:rPr>
                <w:b/>
                <w:bCs/>
                <w:i/>
                <w:iCs/>
                <w:sz w:val="18"/>
                <w:szCs w:val="18"/>
                <w:lang w:val="fr-CH"/>
              </w:rPr>
            </w:pPr>
            <w:r w:rsidRPr="00043355">
              <w:rPr>
                <w:b/>
                <w:bCs/>
                <w:i/>
                <w:iCs/>
                <w:sz w:val="18"/>
                <w:szCs w:val="18"/>
                <w:lang w:val="fr-CH"/>
              </w:rPr>
              <w:t>Critical Pressure</w:t>
            </w:r>
          </w:p>
          <w:p w14:paraId="05BB7163" w14:textId="2F2D34FA" w:rsidR="00EC4A19" w:rsidRPr="009F31DD" w:rsidRDefault="00EC4A19" w:rsidP="00FF4930">
            <w:pPr>
              <w:pStyle w:val="Els-body-text"/>
              <w:rPr>
                <w:b/>
                <w:bCs/>
                <w:i/>
                <w:iCs/>
                <w:sz w:val="18"/>
                <w:szCs w:val="18"/>
                <w:lang w:val="fr-CH"/>
              </w:rPr>
            </w:pPr>
            <w:r>
              <w:rPr>
                <w:b/>
                <w:bCs/>
                <w:i/>
                <w:iCs/>
                <w:sz w:val="18"/>
                <w:szCs w:val="18"/>
                <w:lang w:val="fr-CH"/>
              </w:rPr>
              <w:t>(</w:t>
            </w:r>
            <w:proofErr w:type="gramStart"/>
            <w:r>
              <w:rPr>
                <w:b/>
                <w:bCs/>
                <w:i/>
                <w:iCs/>
                <w:sz w:val="18"/>
                <w:szCs w:val="18"/>
                <w:lang w:val="fr-CH"/>
              </w:rPr>
              <w:t>bar</w:t>
            </w:r>
            <w:proofErr w:type="gramEnd"/>
            <w:r>
              <w:rPr>
                <w:b/>
                <w:bCs/>
                <w:i/>
                <w:iCs/>
                <w:sz w:val="18"/>
                <w:szCs w:val="18"/>
                <w:lang w:val="fr-CH"/>
              </w:rPr>
              <w:t>)</w:t>
            </w:r>
          </w:p>
        </w:tc>
        <w:tc>
          <w:tcPr>
            <w:tcW w:w="1144" w:type="dxa"/>
            <w:hideMark/>
          </w:tcPr>
          <w:p w14:paraId="02F990C0" w14:textId="77777777" w:rsidR="00EC4A19" w:rsidRPr="009F31DD" w:rsidRDefault="00EC4A19" w:rsidP="00FF4930">
            <w:pPr>
              <w:pStyle w:val="Els-body-text"/>
              <w:rPr>
                <w:lang w:val="fr-CH"/>
              </w:rPr>
            </w:pPr>
            <w:r>
              <w:rPr>
                <w:lang w:val="fr-CH"/>
              </w:rPr>
              <w:t>40.59</w:t>
            </w:r>
          </w:p>
        </w:tc>
        <w:tc>
          <w:tcPr>
            <w:tcW w:w="1275" w:type="dxa"/>
            <w:hideMark/>
          </w:tcPr>
          <w:p w14:paraId="3B32C88D" w14:textId="77777777" w:rsidR="00EC4A19" w:rsidRPr="009F31DD" w:rsidRDefault="00EC4A19" w:rsidP="00FF4930">
            <w:pPr>
              <w:pStyle w:val="Els-body-text"/>
              <w:rPr>
                <w:lang w:val="fr-CH"/>
              </w:rPr>
            </w:pPr>
            <w:r>
              <w:rPr>
                <w:lang w:val="fr-CH"/>
              </w:rPr>
              <w:t>36.51</w:t>
            </w:r>
          </w:p>
        </w:tc>
        <w:tc>
          <w:tcPr>
            <w:tcW w:w="1560" w:type="dxa"/>
            <w:hideMark/>
          </w:tcPr>
          <w:p w14:paraId="2644A8E9" w14:textId="77777777" w:rsidR="00EC4A19" w:rsidRPr="009F31DD" w:rsidRDefault="00EC4A19" w:rsidP="00FF4930">
            <w:pPr>
              <w:pStyle w:val="Els-body-text"/>
              <w:rPr>
                <w:lang w:val="fr-CH"/>
              </w:rPr>
            </w:pPr>
            <w:r>
              <w:rPr>
                <w:lang w:val="fr-CH"/>
              </w:rPr>
              <w:t>36.36</w:t>
            </w:r>
          </w:p>
        </w:tc>
      </w:tr>
      <w:tr w:rsidR="00EC4A19" w:rsidRPr="009F31DD" w14:paraId="7748BD21" w14:textId="77777777" w:rsidTr="00F83E99">
        <w:trPr>
          <w:cnfStyle w:val="000000100000" w:firstRow="0" w:lastRow="0" w:firstColumn="0" w:lastColumn="0" w:oddVBand="0" w:evenVBand="0" w:oddHBand="1" w:evenHBand="0" w:firstRowFirstColumn="0" w:firstRowLastColumn="0" w:lastRowFirstColumn="0" w:lastRowLastColumn="0"/>
          <w:trHeight w:val="459"/>
        </w:trPr>
        <w:tc>
          <w:tcPr>
            <w:tcW w:w="0" w:type="dxa"/>
            <w:hideMark/>
          </w:tcPr>
          <w:p w14:paraId="23F22035" w14:textId="77777777" w:rsidR="00EC4A19" w:rsidRPr="009F31DD" w:rsidRDefault="00EC4A19" w:rsidP="00FF4930">
            <w:pPr>
              <w:pStyle w:val="Els-body-text"/>
              <w:rPr>
                <w:b/>
                <w:bCs/>
                <w:i/>
                <w:iCs/>
                <w:sz w:val="18"/>
                <w:szCs w:val="18"/>
                <w:lang w:val="fr-CH"/>
              </w:rPr>
            </w:pPr>
            <w:r w:rsidRPr="00043355">
              <w:rPr>
                <w:b/>
                <w:bCs/>
                <w:i/>
                <w:iCs/>
                <w:sz w:val="18"/>
                <w:szCs w:val="18"/>
                <w:lang w:val="fr-CH"/>
              </w:rPr>
              <w:t xml:space="preserve">Global </w:t>
            </w:r>
            <w:proofErr w:type="spellStart"/>
            <w:r w:rsidRPr="00043355">
              <w:rPr>
                <w:b/>
                <w:bCs/>
                <w:i/>
                <w:iCs/>
                <w:sz w:val="18"/>
                <w:szCs w:val="18"/>
                <w:lang w:val="fr-CH"/>
              </w:rPr>
              <w:t>Warming</w:t>
            </w:r>
            <w:proofErr w:type="spellEnd"/>
            <w:r w:rsidRPr="00043355">
              <w:rPr>
                <w:b/>
                <w:bCs/>
                <w:i/>
                <w:iCs/>
                <w:sz w:val="18"/>
                <w:szCs w:val="18"/>
                <w:lang w:val="fr-CH"/>
              </w:rPr>
              <w:t xml:space="preserve"> </w:t>
            </w:r>
            <w:proofErr w:type="spellStart"/>
            <w:r w:rsidRPr="00043355">
              <w:rPr>
                <w:b/>
                <w:bCs/>
                <w:i/>
                <w:iCs/>
                <w:sz w:val="18"/>
                <w:szCs w:val="18"/>
                <w:lang w:val="fr-CH"/>
              </w:rPr>
              <w:t>Potential</w:t>
            </w:r>
            <w:proofErr w:type="spellEnd"/>
            <w:r>
              <w:rPr>
                <w:b/>
                <w:bCs/>
                <w:i/>
                <w:iCs/>
                <w:sz w:val="18"/>
                <w:szCs w:val="18"/>
                <w:lang w:val="fr-CH"/>
              </w:rPr>
              <w:t xml:space="preserve"> (GWP100)</w:t>
            </w:r>
          </w:p>
        </w:tc>
        <w:tc>
          <w:tcPr>
            <w:tcW w:w="1144" w:type="dxa"/>
            <w:hideMark/>
          </w:tcPr>
          <w:p w14:paraId="1ACA572A" w14:textId="77777777" w:rsidR="00EC4A19" w:rsidRPr="009F31DD" w:rsidRDefault="00EC4A19" w:rsidP="00FF4930">
            <w:pPr>
              <w:pStyle w:val="Els-body-text"/>
              <w:rPr>
                <w:lang w:val="fr-CH"/>
              </w:rPr>
            </w:pPr>
            <w:r>
              <w:rPr>
                <w:lang w:val="fr-CH"/>
              </w:rPr>
              <w:t>3830</w:t>
            </w:r>
          </w:p>
        </w:tc>
        <w:tc>
          <w:tcPr>
            <w:tcW w:w="1275" w:type="dxa"/>
            <w:hideMark/>
          </w:tcPr>
          <w:p w14:paraId="5F7EABCA" w14:textId="77777777" w:rsidR="00EC4A19" w:rsidRPr="009F31DD" w:rsidRDefault="00EC4A19" w:rsidP="00FF4930">
            <w:pPr>
              <w:pStyle w:val="Els-body-text"/>
              <w:rPr>
                <w:lang w:val="fr-CH"/>
              </w:rPr>
            </w:pPr>
            <w:r>
              <w:rPr>
                <w:lang w:val="fr-CH"/>
              </w:rPr>
              <w:t>3380</w:t>
            </w:r>
          </w:p>
        </w:tc>
        <w:tc>
          <w:tcPr>
            <w:tcW w:w="1560" w:type="dxa"/>
            <w:hideMark/>
          </w:tcPr>
          <w:p w14:paraId="199153CE" w14:textId="3452C848" w:rsidR="00EC4A19" w:rsidRPr="009F31DD" w:rsidRDefault="00F83E99" w:rsidP="00FF4930">
            <w:pPr>
              <w:pStyle w:val="Els-body-text"/>
              <w:rPr>
                <w:lang w:val="fr-CH"/>
              </w:rPr>
            </w:pPr>
            <w:r w:rsidRPr="005D452E">
              <w:rPr>
                <w:lang w:val="fr-CH"/>
              </w:rPr>
              <w:t>-</w:t>
            </w:r>
          </w:p>
        </w:tc>
      </w:tr>
    </w:tbl>
    <w:p w14:paraId="45DED3FA" w14:textId="0FACAEC4" w:rsidR="00EC4A19" w:rsidRDefault="004A0CC1" w:rsidP="004A0CC1">
      <w:pPr>
        <w:pStyle w:val="Els-body-text"/>
        <w:jc w:val="center"/>
        <w:rPr>
          <w:lang w:val="en-GB"/>
        </w:rPr>
      </w:pPr>
      <w:r>
        <w:rPr>
          <w:noProof/>
          <w:lang w:val="en-GB"/>
        </w:rPr>
        <w:drawing>
          <wp:inline distT="0" distB="0" distL="0" distR="0" wp14:anchorId="6EB94395" wp14:editId="39E53401">
            <wp:extent cx="2995093" cy="2584674"/>
            <wp:effectExtent l="0" t="0" r="0" b="0"/>
            <wp:docPr id="6564793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479351" name="Picture 65647935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7013" cy="2594960"/>
                    </a:xfrm>
                    <a:prstGeom prst="rect">
                      <a:avLst/>
                    </a:prstGeom>
                  </pic:spPr>
                </pic:pic>
              </a:graphicData>
            </a:graphic>
          </wp:inline>
        </w:drawing>
      </w:r>
    </w:p>
    <w:p w14:paraId="1AF28F27" w14:textId="504196EB" w:rsidR="004A0CC1" w:rsidRDefault="004A0CC1" w:rsidP="005D452E">
      <w:pPr>
        <w:pStyle w:val="Els-body-text"/>
        <w:jc w:val="center"/>
        <w:rPr>
          <w:lang w:val="en-GB"/>
        </w:rPr>
      </w:pPr>
      <w:r w:rsidRPr="008A5A89">
        <w:rPr>
          <w:i/>
          <w:iCs/>
        </w:rPr>
        <w:t xml:space="preserve">Figure </w:t>
      </w:r>
      <w:proofErr w:type="gramStart"/>
      <w:r>
        <w:rPr>
          <w:i/>
          <w:iCs/>
        </w:rPr>
        <w:t>2</w:t>
      </w:r>
      <w:r w:rsidRPr="008A5A89">
        <w:rPr>
          <w:i/>
          <w:iCs/>
        </w:rPr>
        <w:t xml:space="preserve">  </w:t>
      </w:r>
      <w:r>
        <w:rPr>
          <w:i/>
          <w:iCs/>
        </w:rPr>
        <w:t>A</w:t>
      </w:r>
      <w:proofErr w:type="gramEnd"/>
      <w:r>
        <w:rPr>
          <w:i/>
          <w:iCs/>
        </w:rPr>
        <w:t xml:space="preserve"> simplified schematic of the overall process system showing heat removal from the data </w:t>
      </w:r>
      <w:proofErr w:type="spellStart"/>
      <w:r>
        <w:rPr>
          <w:i/>
          <w:iCs/>
        </w:rPr>
        <w:t>centre</w:t>
      </w:r>
      <w:proofErr w:type="spellEnd"/>
      <w:r>
        <w:rPr>
          <w:i/>
          <w:iCs/>
        </w:rPr>
        <w:t xml:space="preserve"> and electricity generation</w:t>
      </w:r>
    </w:p>
    <w:p w14:paraId="382EB30E" w14:textId="77777777" w:rsidR="00EC4A19" w:rsidRDefault="00EC4A19" w:rsidP="00EC4A19">
      <w:pPr>
        <w:pStyle w:val="Els-1storder-head"/>
        <w:spacing w:after="120"/>
        <w:rPr>
          <w:lang w:val="en-GB"/>
        </w:rPr>
      </w:pPr>
      <w:r>
        <w:rPr>
          <w:lang w:val="en-GB"/>
        </w:rPr>
        <w:t>Results and Discussion</w:t>
      </w:r>
    </w:p>
    <w:p w14:paraId="12F6C6E1" w14:textId="45ECCD29" w:rsidR="003262C3" w:rsidRDefault="003262C3" w:rsidP="00EC4A19">
      <w:pPr>
        <w:pStyle w:val="Els-body-text"/>
        <w:rPr>
          <w:b/>
          <w:bCs/>
          <w:color w:val="FF0000"/>
          <w:lang w:val="en-GB"/>
        </w:rPr>
      </w:pPr>
      <w:r w:rsidRPr="005D452E">
        <w:rPr>
          <w:color w:val="000000" w:themeColor="text1"/>
          <w:lang w:val="en-GB"/>
        </w:rPr>
        <w:t>By calculating the amount of electricity produced with each of these working fluids, we were able to calculate the efficiency of electricity production in each case. Assuming that the data centre has a power usage effectiveness of 1.58 and a system heat recovery potential of 0.96, we estimated that the heat available to be converted to actual work in the system was only about 3038 kW. The electricity produced and the efficiency is tabulated in Table 2 below.</w:t>
      </w:r>
      <w:r w:rsidR="00471395">
        <w:rPr>
          <w:color w:val="000000" w:themeColor="text1"/>
          <w:lang w:val="en-GB"/>
        </w:rPr>
        <w:t xml:space="preserve"> The efficiencies as calculated here for an ultra-low grade </w:t>
      </w:r>
      <w:r w:rsidR="00471395">
        <w:rPr>
          <w:color w:val="000000" w:themeColor="text1"/>
          <w:lang w:val="en-GB"/>
        </w:rPr>
        <w:lastRenderedPageBreak/>
        <w:t xml:space="preserve">waste heat recovery scenario for the different working fluids, seems to also conform with the findings of  </w:t>
      </w:r>
      <w:proofErr w:type="spellStart"/>
      <w:r w:rsidR="004D4331">
        <w:rPr>
          <w:color w:val="000000" w:themeColor="text1"/>
          <w:lang w:val="en-GB"/>
        </w:rPr>
        <w:t>Vittorini</w:t>
      </w:r>
      <w:proofErr w:type="spellEnd"/>
      <w:r w:rsidR="004D4331">
        <w:rPr>
          <w:color w:val="000000" w:themeColor="text1"/>
          <w:lang w:val="en-GB"/>
        </w:rPr>
        <w:t xml:space="preserve"> et al</w:t>
      </w:r>
      <w:r w:rsidR="00BF4BF1">
        <w:rPr>
          <w:color w:val="000000" w:themeColor="text1"/>
          <w:lang w:val="en-GB"/>
        </w:rPr>
        <w:t xml:space="preserve"> (2019)</w:t>
      </w:r>
      <w:r w:rsidR="004D4331">
        <w:rPr>
          <w:color w:val="000000" w:themeColor="text1"/>
          <w:lang w:val="en-GB"/>
        </w:rPr>
        <w:fldChar w:fldCharType="begin"/>
      </w:r>
      <w:r w:rsidR="004D4331">
        <w:rPr>
          <w:color w:val="000000" w:themeColor="text1"/>
          <w:lang w:val="en-GB"/>
        </w:rPr>
        <w:instrText xml:space="preserve"> ADDIN ZOTERO_ITEM CSL_CITATION {"citationID":"XAEEAPT7","properties":{"formattedCitation":"\\super 7\\nosupersub{}","plainCitation":"7","noteIndex":0},"citationItems":[{"id":7681,"uris":["http://zotero.org/users/12656915/items/CDJLTUVH"],"itemData":{"id":7681,"type":"article-journal","abstract":"The full exploitation of the upper thermal source is the key for enhanced energy performances of ORC-based units for medium and low-grade waste heat recovery. The adoption of a dual evaporation pressure cycle layout has the potential to reduce the heat exchange irreversibility at the evaporation section and to assure a higher net power available at the expander shaft, particularly in small scale units and in presence of upper thermal sources with a highly variable heat release characteristic. The adoption of the dual evaporation pressure technology to small scale recovery units represents a major technological breakthrough and an element of novelty, observing that, at present, the possibility to split the evaporation process in multiple pressure levels is considered mostly with reference to steam generators and boilers. The study investigates the potential energy and exergy advantage of a dual pressure heat recovery vapor generator, with respect to a base-single evaporation pressure layout, for a recovery unit with a mechanical power in the 1–15 kW range, for stationary (100 °C–150 °C hot source temperature) and on-board (350 °C–300 °C hot source temperature) applications. A dedicated optimization procedure allows the maximization of either the net power recovered or the cycle energy efficiency, dependently on the final application of the unit. The exergy efficiency of the heat recovery vapor generator is assessed and its dependence on the fluid characteristics and the main cycle variables discussed, along with the relationship between the energy and exergy gain for the enhanced heat exchange. A preliminary economic analysis provides a first indication of the financial merit of the dual evaporation pressure layout with respect to a base single evaporation pressure configuration.","container-title":"Energy Conversion and Management","DOI":"10.1016/j.enconman.2019.111874","ISSN":"0196-8904","journalAbbreviation":"Energy Conversion and Management","page":"111874","source":"ScienceDirect","title":"Enhanced performances of ORC-based units for low grade waste heat recovery via evaporator layout optimization","volume":"197","author":[{"family":"Vittorini","given":"Diego"},{"family":"Cipollone","given":"Roberto"},{"family":"Carapellucci","given":"Roberto"}],"issued":{"date-parts":[["2019",10,1]]}}}],"schema":"https://github.com/citation-style-language/schema/raw/master/csl-citation.json"} </w:instrText>
      </w:r>
      <w:r w:rsidR="004D4331">
        <w:rPr>
          <w:color w:val="000000" w:themeColor="text1"/>
          <w:lang w:val="en-GB"/>
        </w:rPr>
        <w:fldChar w:fldCharType="separate"/>
      </w:r>
      <w:r w:rsidR="004D4331" w:rsidRPr="004D4331">
        <w:rPr>
          <w:color w:val="000000"/>
          <w:vertAlign w:val="superscript"/>
          <w:lang w:val="en-GB"/>
        </w:rPr>
        <w:t>7</w:t>
      </w:r>
      <w:r w:rsidR="004D4331">
        <w:rPr>
          <w:color w:val="000000" w:themeColor="text1"/>
          <w:lang w:val="en-GB"/>
        </w:rPr>
        <w:fldChar w:fldCharType="end"/>
      </w:r>
      <w:r w:rsidR="004D4331">
        <w:rPr>
          <w:color w:val="000000" w:themeColor="text1"/>
          <w:lang w:val="en-GB"/>
        </w:rPr>
        <w:t>. and Dai et. al</w:t>
      </w:r>
      <w:r w:rsidR="00BF4BF1">
        <w:rPr>
          <w:color w:val="000000" w:themeColor="text1"/>
          <w:lang w:val="en-GB"/>
        </w:rPr>
        <w:t>(2009)</w:t>
      </w:r>
      <w:r w:rsidR="004D4331">
        <w:rPr>
          <w:color w:val="000000" w:themeColor="text1"/>
          <w:lang w:val="en-GB"/>
        </w:rPr>
        <w:t xml:space="preserve"> </w:t>
      </w:r>
      <w:r w:rsidR="004D4331">
        <w:rPr>
          <w:color w:val="000000" w:themeColor="text1"/>
          <w:lang w:val="en-GB"/>
        </w:rPr>
        <w:fldChar w:fldCharType="begin"/>
      </w:r>
      <w:r w:rsidR="004D4331">
        <w:rPr>
          <w:color w:val="000000" w:themeColor="text1"/>
          <w:lang w:val="en-GB"/>
        </w:rPr>
        <w:instrText xml:space="preserve"> ADDIN ZOTERO_ITEM CSL_CITATION {"citationID":"VPQemLRN","properties":{"formattedCitation":"\\super 8\\nosupersub{}","plainCitation":"8","noteIndex":0},"citationItems":[{"id":7683,"uris":["http://zotero.org/users/12656915/items/3BKJCHPV"],"itemData":{"id":7683,"type":"article-journal","abstract":"Organic Rankine cycles for low grade waste heat recovery are described with different working fluids. The effects of the thermodynamic parameters on the ORC performance are examined, and the thermodynamic parameters of the ORC for each working fluid are optimized with exergy efficiency as an objective function by means of the genetic algorithm. The optimum performance of cycles with different working fluids was compared and analyzed under the same waste heat condition. The results show that the cycles with organic working fluids are much better than the cycle with water in converting low grade waste heat to useful work. The cycle with R236EA has the highest exergy efficiency, and adding an internal heat exchanger into the ORC system could not improve the performance under the given waste heat condition. In addition, for the working fluids with non-positive saturation vapor curve slope, the cycle has the best performance property with saturated vapor at the turbine inlet.","container-title":"Energy Conversion and Management","DOI":"10.1016/j.enconman.2008.10.018","ISSN":"0196-8904","issue":"3","journalAbbreviation":"Energy Conversion and Management","page":"576-582","source":"ScienceDirect","title":"Parametric optimization and comparative study of organic Rankine cycle (ORC) for low grade waste heat recovery","volume":"50","author":[{"family":"Dai","given":"Yiping"},{"family":"Wang","given":"Jiangfeng"},{"family":"Gao","given":"Lin"}],"issued":{"date-parts":[["2009",3,1]]}}}],"schema":"https://github.com/citation-style-language/schema/raw/master/csl-citation.json"} </w:instrText>
      </w:r>
      <w:r w:rsidR="004D4331">
        <w:rPr>
          <w:color w:val="000000" w:themeColor="text1"/>
          <w:lang w:val="en-GB"/>
        </w:rPr>
        <w:fldChar w:fldCharType="separate"/>
      </w:r>
      <w:r w:rsidR="004D4331" w:rsidRPr="004D4331">
        <w:rPr>
          <w:color w:val="000000"/>
          <w:vertAlign w:val="superscript"/>
          <w:lang w:val="en-GB"/>
        </w:rPr>
        <w:t>8</w:t>
      </w:r>
      <w:r w:rsidR="004D4331">
        <w:rPr>
          <w:color w:val="000000" w:themeColor="text1"/>
          <w:lang w:val="en-GB"/>
        </w:rPr>
        <w:fldChar w:fldCharType="end"/>
      </w:r>
    </w:p>
    <w:p w14:paraId="6C09B90F" w14:textId="283834C6" w:rsidR="003262C3" w:rsidRDefault="003262C3" w:rsidP="003262C3">
      <w:pPr>
        <w:pStyle w:val="Els-body-text"/>
        <w:jc w:val="center"/>
        <w:rPr>
          <w:i/>
          <w:iCs/>
        </w:rPr>
      </w:pPr>
      <w:r>
        <w:rPr>
          <w:b/>
          <w:bCs/>
          <w:color w:val="FF0000"/>
          <w:lang w:val="en-GB"/>
        </w:rPr>
        <w:t xml:space="preserve"> </w:t>
      </w:r>
      <w:r w:rsidRPr="00F10697">
        <w:rPr>
          <w:i/>
          <w:iCs/>
        </w:rPr>
        <w:t xml:space="preserve">Table </w:t>
      </w:r>
      <w:r>
        <w:rPr>
          <w:i/>
          <w:iCs/>
        </w:rPr>
        <w:t>2</w:t>
      </w:r>
      <w:r w:rsidRPr="00F10697">
        <w:rPr>
          <w:i/>
          <w:iCs/>
        </w:rPr>
        <w:t xml:space="preserve">: </w:t>
      </w:r>
      <w:r>
        <w:rPr>
          <w:i/>
          <w:iCs/>
        </w:rPr>
        <w:t>Efficiency of ORC system with different working fluids</w:t>
      </w:r>
    </w:p>
    <w:p w14:paraId="7090CDEC" w14:textId="77777777" w:rsidR="003262C3" w:rsidRPr="00F10697" w:rsidRDefault="003262C3" w:rsidP="005D452E">
      <w:pPr>
        <w:pStyle w:val="Els-body-text"/>
        <w:rPr>
          <w:i/>
          <w:iCs/>
        </w:rPr>
      </w:pPr>
    </w:p>
    <w:tbl>
      <w:tblPr>
        <w:tblStyle w:val="PlainTable1"/>
        <w:tblpPr w:leftFromText="180" w:rightFromText="180" w:vertAnchor="text" w:horzAnchor="margin" w:tblpXSpec="center" w:tblpY="-196"/>
        <w:tblW w:w="6658" w:type="dxa"/>
        <w:tblLook w:val="0420" w:firstRow="1" w:lastRow="0" w:firstColumn="0" w:lastColumn="0" w:noHBand="0" w:noVBand="1"/>
      </w:tblPr>
      <w:tblGrid>
        <w:gridCol w:w="2972"/>
        <w:gridCol w:w="1018"/>
        <w:gridCol w:w="1250"/>
        <w:gridCol w:w="1418"/>
      </w:tblGrid>
      <w:tr w:rsidR="003262C3" w:rsidRPr="009F31DD" w14:paraId="17D13AE2" w14:textId="77777777" w:rsidTr="00471395">
        <w:trPr>
          <w:cnfStyle w:val="100000000000" w:firstRow="1" w:lastRow="0" w:firstColumn="0" w:lastColumn="0" w:oddVBand="0" w:evenVBand="0" w:oddHBand="0" w:evenHBand="0" w:firstRowFirstColumn="0" w:firstRowLastColumn="0" w:lastRowFirstColumn="0" w:lastRowLastColumn="0"/>
          <w:trHeight w:val="459"/>
        </w:trPr>
        <w:tc>
          <w:tcPr>
            <w:tcW w:w="2972" w:type="dxa"/>
            <w:hideMark/>
          </w:tcPr>
          <w:p w14:paraId="43920B34" w14:textId="77777777" w:rsidR="003262C3" w:rsidRPr="003A4E4B" w:rsidRDefault="003262C3" w:rsidP="00FF4930">
            <w:pPr>
              <w:pStyle w:val="Els-body-text"/>
            </w:pPr>
          </w:p>
        </w:tc>
        <w:tc>
          <w:tcPr>
            <w:tcW w:w="1018" w:type="dxa"/>
            <w:hideMark/>
          </w:tcPr>
          <w:p w14:paraId="54C4999D" w14:textId="77777777" w:rsidR="003262C3" w:rsidRPr="009F31DD" w:rsidRDefault="003262C3" w:rsidP="00FF4930">
            <w:pPr>
              <w:pStyle w:val="Els-body-text"/>
            </w:pPr>
            <w:r w:rsidRPr="009F31DD">
              <w:t>R134a</w:t>
            </w:r>
          </w:p>
        </w:tc>
        <w:tc>
          <w:tcPr>
            <w:tcW w:w="1250" w:type="dxa"/>
            <w:hideMark/>
          </w:tcPr>
          <w:p w14:paraId="15460011" w14:textId="77777777" w:rsidR="003262C3" w:rsidRPr="009F31DD" w:rsidRDefault="003262C3" w:rsidP="00FF4930">
            <w:pPr>
              <w:pStyle w:val="Els-body-text"/>
            </w:pPr>
            <w:r w:rsidRPr="009F31DD">
              <w:t>R245fa</w:t>
            </w:r>
          </w:p>
        </w:tc>
        <w:tc>
          <w:tcPr>
            <w:tcW w:w="1418" w:type="dxa"/>
            <w:hideMark/>
          </w:tcPr>
          <w:p w14:paraId="397D5276" w14:textId="77777777" w:rsidR="003262C3" w:rsidRPr="009F31DD" w:rsidRDefault="003262C3" w:rsidP="00FF4930">
            <w:pPr>
              <w:pStyle w:val="Els-body-text"/>
            </w:pPr>
            <w:r w:rsidRPr="009F31DD">
              <w:t>R1234zeE</w:t>
            </w:r>
          </w:p>
        </w:tc>
      </w:tr>
      <w:tr w:rsidR="003262C3" w:rsidRPr="009F31DD" w14:paraId="5FE15652" w14:textId="77777777" w:rsidTr="00471395">
        <w:trPr>
          <w:cnfStyle w:val="000000100000" w:firstRow="0" w:lastRow="0" w:firstColumn="0" w:lastColumn="0" w:oddVBand="0" w:evenVBand="0" w:oddHBand="1" w:evenHBand="0" w:firstRowFirstColumn="0" w:firstRowLastColumn="0" w:lastRowFirstColumn="0" w:lastRowLastColumn="0"/>
          <w:trHeight w:val="459"/>
        </w:trPr>
        <w:tc>
          <w:tcPr>
            <w:tcW w:w="2972" w:type="dxa"/>
            <w:hideMark/>
          </w:tcPr>
          <w:p w14:paraId="50CCA48D" w14:textId="2F74BAC8" w:rsidR="003262C3" w:rsidRPr="00471395" w:rsidRDefault="003262C3" w:rsidP="00FF4930">
            <w:pPr>
              <w:pStyle w:val="Els-body-text"/>
              <w:rPr>
                <w:b/>
                <w:bCs/>
                <w:i/>
                <w:iCs/>
                <w:sz w:val="18"/>
                <w:szCs w:val="18"/>
              </w:rPr>
            </w:pPr>
            <w:r w:rsidRPr="00471395">
              <w:rPr>
                <w:b/>
                <w:bCs/>
                <w:i/>
                <w:iCs/>
                <w:sz w:val="18"/>
                <w:szCs w:val="18"/>
              </w:rPr>
              <w:t>Heat available from system (kW)</w:t>
            </w:r>
          </w:p>
        </w:tc>
        <w:tc>
          <w:tcPr>
            <w:tcW w:w="1018" w:type="dxa"/>
            <w:hideMark/>
          </w:tcPr>
          <w:p w14:paraId="55D194C1" w14:textId="3BD5DC59" w:rsidR="003262C3" w:rsidRPr="009F31DD" w:rsidRDefault="003262C3" w:rsidP="00FF4930">
            <w:pPr>
              <w:pStyle w:val="Els-body-text"/>
              <w:rPr>
                <w:lang w:val="fr-CH"/>
              </w:rPr>
            </w:pPr>
            <w:r>
              <w:rPr>
                <w:lang w:val="fr-CH"/>
              </w:rPr>
              <w:t>3038</w:t>
            </w:r>
          </w:p>
        </w:tc>
        <w:tc>
          <w:tcPr>
            <w:tcW w:w="1250" w:type="dxa"/>
            <w:hideMark/>
          </w:tcPr>
          <w:p w14:paraId="6444A0A7" w14:textId="23D53A68" w:rsidR="003262C3" w:rsidRPr="009F31DD" w:rsidRDefault="003262C3" w:rsidP="00FF4930">
            <w:pPr>
              <w:pStyle w:val="Els-body-text"/>
              <w:rPr>
                <w:lang w:val="fr-CH"/>
              </w:rPr>
            </w:pPr>
            <w:r>
              <w:rPr>
                <w:lang w:val="fr-CH"/>
              </w:rPr>
              <w:t>3038</w:t>
            </w:r>
          </w:p>
        </w:tc>
        <w:tc>
          <w:tcPr>
            <w:tcW w:w="1418" w:type="dxa"/>
            <w:hideMark/>
          </w:tcPr>
          <w:p w14:paraId="37D42021" w14:textId="5BD351A1" w:rsidR="003262C3" w:rsidRPr="009F31DD" w:rsidRDefault="003262C3" w:rsidP="00FF4930">
            <w:pPr>
              <w:pStyle w:val="Els-body-text"/>
              <w:rPr>
                <w:lang w:val="fr-CH"/>
              </w:rPr>
            </w:pPr>
            <w:r>
              <w:rPr>
                <w:lang w:val="fr-CH"/>
              </w:rPr>
              <w:t>3038</w:t>
            </w:r>
          </w:p>
        </w:tc>
      </w:tr>
      <w:tr w:rsidR="003262C3" w:rsidRPr="009F31DD" w14:paraId="2B0E0FC8" w14:textId="77777777" w:rsidTr="00471395">
        <w:trPr>
          <w:trHeight w:val="459"/>
        </w:trPr>
        <w:tc>
          <w:tcPr>
            <w:tcW w:w="2972" w:type="dxa"/>
            <w:hideMark/>
          </w:tcPr>
          <w:p w14:paraId="00A903B6" w14:textId="09AC40A0" w:rsidR="003262C3" w:rsidRPr="009F31DD" w:rsidRDefault="003262C3" w:rsidP="00FF4930">
            <w:pPr>
              <w:pStyle w:val="Els-body-text"/>
              <w:rPr>
                <w:b/>
                <w:bCs/>
                <w:i/>
                <w:iCs/>
                <w:sz w:val="18"/>
                <w:szCs w:val="18"/>
              </w:rPr>
            </w:pPr>
            <w:r>
              <w:rPr>
                <w:b/>
                <w:bCs/>
                <w:i/>
                <w:iCs/>
                <w:sz w:val="18"/>
                <w:szCs w:val="18"/>
              </w:rPr>
              <w:t>Temperature of hot source (</w:t>
            </w:r>
            <w:proofErr w:type="spellStart"/>
            <w:r w:rsidRPr="00471395">
              <w:rPr>
                <w:b/>
                <w:bCs/>
                <w:i/>
                <w:iCs/>
                <w:sz w:val="18"/>
                <w:szCs w:val="18"/>
                <w:vertAlign w:val="superscript"/>
              </w:rPr>
              <w:t>o</w:t>
            </w:r>
            <w:r>
              <w:rPr>
                <w:b/>
                <w:bCs/>
                <w:i/>
                <w:iCs/>
                <w:sz w:val="18"/>
                <w:szCs w:val="18"/>
              </w:rPr>
              <w:t>C</w:t>
            </w:r>
            <w:proofErr w:type="spellEnd"/>
            <w:r>
              <w:rPr>
                <w:b/>
                <w:bCs/>
                <w:i/>
                <w:iCs/>
                <w:sz w:val="18"/>
                <w:szCs w:val="18"/>
              </w:rPr>
              <w:t>)</w:t>
            </w:r>
            <w:r w:rsidRPr="00043355">
              <w:rPr>
                <w:b/>
                <w:bCs/>
                <w:i/>
                <w:iCs/>
                <w:sz w:val="18"/>
                <w:szCs w:val="18"/>
              </w:rPr>
              <w:t xml:space="preserve"> </w:t>
            </w:r>
          </w:p>
        </w:tc>
        <w:tc>
          <w:tcPr>
            <w:tcW w:w="1018" w:type="dxa"/>
            <w:hideMark/>
          </w:tcPr>
          <w:p w14:paraId="6F000C8B" w14:textId="7CC48A18" w:rsidR="003262C3" w:rsidRPr="009F31DD" w:rsidRDefault="003262C3" w:rsidP="00FF4930">
            <w:pPr>
              <w:pStyle w:val="Els-body-text"/>
              <w:rPr>
                <w:lang w:val="fr-CH"/>
              </w:rPr>
            </w:pPr>
            <w:r>
              <w:rPr>
                <w:lang w:val="fr-CH"/>
              </w:rPr>
              <w:t>85</w:t>
            </w:r>
          </w:p>
        </w:tc>
        <w:tc>
          <w:tcPr>
            <w:tcW w:w="1250" w:type="dxa"/>
            <w:hideMark/>
          </w:tcPr>
          <w:p w14:paraId="6FEE2FDF" w14:textId="0E225090" w:rsidR="003262C3" w:rsidRPr="009F31DD" w:rsidRDefault="003262C3" w:rsidP="00FF4930">
            <w:pPr>
              <w:pStyle w:val="Els-body-text"/>
              <w:rPr>
                <w:lang w:val="fr-CH"/>
              </w:rPr>
            </w:pPr>
            <w:r>
              <w:rPr>
                <w:lang w:val="fr-CH"/>
              </w:rPr>
              <w:t>85</w:t>
            </w:r>
          </w:p>
        </w:tc>
        <w:tc>
          <w:tcPr>
            <w:tcW w:w="1418" w:type="dxa"/>
            <w:hideMark/>
          </w:tcPr>
          <w:p w14:paraId="1FAF81AA" w14:textId="367C23A1" w:rsidR="003262C3" w:rsidRPr="009F31DD" w:rsidRDefault="003262C3" w:rsidP="00FF4930">
            <w:pPr>
              <w:pStyle w:val="Els-body-text"/>
              <w:rPr>
                <w:lang w:val="fr-CH"/>
              </w:rPr>
            </w:pPr>
            <w:r>
              <w:rPr>
                <w:lang w:val="fr-CH"/>
              </w:rPr>
              <w:t>85</w:t>
            </w:r>
          </w:p>
        </w:tc>
      </w:tr>
      <w:tr w:rsidR="003262C3" w:rsidRPr="009F31DD" w14:paraId="7DAE5388" w14:textId="77777777" w:rsidTr="00471395">
        <w:trPr>
          <w:cnfStyle w:val="000000100000" w:firstRow="0" w:lastRow="0" w:firstColumn="0" w:lastColumn="0" w:oddVBand="0" w:evenVBand="0" w:oddHBand="1" w:evenHBand="0" w:firstRowFirstColumn="0" w:firstRowLastColumn="0" w:lastRowFirstColumn="0" w:lastRowLastColumn="0"/>
          <w:trHeight w:val="459"/>
        </w:trPr>
        <w:tc>
          <w:tcPr>
            <w:tcW w:w="2972" w:type="dxa"/>
            <w:hideMark/>
          </w:tcPr>
          <w:p w14:paraId="30877DE5" w14:textId="359800C9" w:rsidR="003262C3" w:rsidRPr="00471395" w:rsidRDefault="003262C3" w:rsidP="00FF4930">
            <w:pPr>
              <w:pStyle w:val="Els-body-text"/>
              <w:rPr>
                <w:b/>
                <w:bCs/>
                <w:i/>
                <w:iCs/>
                <w:sz w:val="18"/>
                <w:szCs w:val="18"/>
              </w:rPr>
            </w:pPr>
            <w:r>
              <w:rPr>
                <w:b/>
                <w:bCs/>
                <w:i/>
                <w:iCs/>
                <w:sz w:val="18"/>
                <w:szCs w:val="18"/>
              </w:rPr>
              <w:t xml:space="preserve">Temperature of </w:t>
            </w:r>
            <w:r w:rsidR="00E0292E">
              <w:rPr>
                <w:b/>
                <w:bCs/>
                <w:i/>
                <w:iCs/>
                <w:sz w:val="18"/>
                <w:szCs w:val="18"/>
              </w:rPr>
              <w:t>cold</w:t>
            </w:r>
            <w:r>
              <w:rPr>
                <w:b/>
                <w:bCs/>
                <w:i/>
                <w:iCs/>
                <w:sz w:val="18"/>
                <w:szCs w:val="18"/>
              </w:rPr>
              <w:t xml:space="preserve"> s</w:t>
            </w:r>
            <w:r w:rsidR="00E0292E">
              <w:rPr>
                <w:b/>
                <w:bCs/>
                <w:i/>
                <w:iCs/>
                <w:sz w:val="18"/>
                <w:szCs w:val="18"/>
              </w:rPr>
              <w:t>ink</w:t>
            </w:r>
            <w:r>
              <w:rPr>
                <w:b/>
                <w:bCs/>
                <w:i/>
                <w:iCs/>
                <w:sz w:val="18"/>
                <w:szCs w:val="18"/>
              </w:rPr>
              <w:t xml:space="preserve"> (</w:t>
            </w:r>
            <w:proofErr w:type="spellStart"/>
            <w:r w:rsidRPr="00FF4930">
              <w:rPr>
                <w:b/>
                <w:bCs/>
                <w:i/>
                <w:iCs/>
                <w:sz w:val="18"/>
                <w:szCs w:val="18"/>
                <w:vertAlign w:val="superscript"/>
              </w:rPr>
              <w:t>o</w:t>
            </w:r>
            <w:r>
              <w:rPr>
                <w:b/>
                <w:bCs/>
                <w:i/>
                <w:iCs/>
                <w:sz w:val="18"/>
                <w:szCs w:val="18"/>
              </w:rPr>
              <w:t>C</w:t>
            </w:r>
            <w:proofErr w:type="spellEnd"/>
            <w:r>
              <w:rPr>
                <w:b/>
                <w:bCs/>
                <w:i/>
                <w:iCs/>
                <w:sz w:val="18"/>
                <w:szCs w:val="18"/>
              </w:rPr>
              <w:t>)</w:t>
            </w:r>
          </w:p>
        </w:tc>
        <w:tc>
          <w:tcPr>
            <w:tcW w:w="1018" w:type="dxa"/>
            <w:hideMark/>
          </w:tcPr>
          <w:p w14:paraId="58F57DC7" w14:textId="54A1C847" w:rsidR="003262C3" w:rsidRPr="009F31DD" w:rsidRDefault="003262C3" w:rsidP="00FF4930">
            <w:pPr>
              <w:pStyle w:val="Els-body-text"/>
              <w:rPr>
                <w:lang w:val="fr-CH"/>
              </w:rPr>
            </w:pPr>
            <w:r>
              <w:rPr>
                <w:lang w:val="fr-CH"/>
              </w:rPr>
              <w:t>15</w:t>
            </w:r>
          </w:p>
        </w:tc>
        <w:tc>
          <w:tcPr>
            <w:tcW w:w="1250" w:type="dxa"/>
            <w:hideMark/>
          </w:tcPr>
          <w:p w14:paraId="5CE70EFD" w14:textId="237B0C6A" w:rsidR="003262C3" w:rsidRPr="009F31DD" w:rsidRDefault="003262C3" w:rsidP="00FF4930">
            <w:pPr>
              <w:pStyle w:val="Els-body-text"/>
              <w:rPr>
                <w:lang w:val="fr-CH"/>
              </w:rPr>
            </w:pPr>
            <w:r>
              <w:rPr>
                <w:lang w:val="fr-CH"/>
              </w:rPr>
              <w:t>15</w:t>
            </w:r>
          </w:p>
        </w:tc>
        <w:tc>
          <w:tcPr>
            <w:tcW w:w="1418" w:type="dxa"/>
            <w:hideMark/>
          </w:tcPr>
          <w:p w14:paraId="2736D5A1" w14:textId="0BDED44E" w:rsidR="003262C3" w:rsidRPr="009F31DD" w:rsidRDefault="003262C3" w:rsidP="00FF4930">
            <w:pPr>
              <w:pStyle w:val="Els-body-text"/>
              <w:rPr>
                <w:lang w:val="fr-CH"/>
              </w:rPr>
            </w:pPr>
            <w:r>
              <w:rPr>
                <w:lang w:val="fr-CH"/>
              </w:rPr>
              <w:t>15</w:t>
            </w:r>
          </w:p>
        </w:tc>
      </w:tr>
      <w:tr w:rsidR="003262C3" w:rsidRPr="009F31DD" w14:paraId="7E442362" w14:textId="77777777" w:rsidTr="00471395">
        <w:trPr>
          <w:trHeight w:val="459"/>
        </w:trPr>
        <w:tc>
          <w:tcPr>
            <w:tcW w:w="2972" w:type="dxa"/>
            <w:hideMark/>
          </w:tcPr>
          <w:p w14:paraId="38384133" w14:textId="0B47A7ED" w:rsidR="003262C3" w:rsidRPr="009F31DD" w:rsidRDefault="003262C3" w:rsidP="00FF4930">
            <w:pPr>
              <w:pStyle w:val="Els-body-text"/>
              <w:rPr>
                <w:b/>
                <w:bCs/>
                <w:i/>
                <w:iCs/>
                <w:sz w:val="18"/>
                <w:szCs w:val="18"/>
                <w:lang w:val="fr-CH"/>
              </w:rPr>
            </w:pPr>
            <w:proofErr w:type="spellStart"/>
            <w:r>
              <w:rPr>
                <w:b/>
                <w:bCs/>
                <w:i/>
                <w:iCs/>
                <w:sz w:val="18"/>
                <w:szCs w:val="18"/>
                <w:lang w:val="fr-CH"/>
              </w:rPr>
              <w:t>Electricity</w:t>
            </w:r>
            <w:proofErr w:type="spellEnd"/>
            <w:r>
              <w:rPr>
                <w:b/>
                <w:bCs/>
                <w:i/>
                <w:iCs/>
                <w:sz w:val="18"/>
                <w:szCs w:val="18"/>
                <w:lang w:val="fr-CH"/>
              </w:rPr>
              <w:t xml:space="preserve"> </w:t>
            </w:r>
            <w:proofErr w:type="spellStart"/>
            <w:r>
              <w:rPr>
                <w:b/>
                <w:bCs/>
                <w:i/>
                <w:iCs/>
                <w:sz w:val="18"/>
                <w:szCs w:val="18"/>
                <w:lang w:val="fr-CH"/>
              </w:rPr>
              <w:t>produced</w:t>
            </w:r>
            <w:proofErr w:type="spellEnd"/>
            <w:r>
              <w:rPr>
                <w:b/>
                <w:bCs/>
                <w:i/>
                <w:iCs/>
                <w:sz w:val="18"/>
                <w:szCs w:val="18"/>
                <w:lang w:val="fr-CH"/>
              </w:rPr>
              <w:t xml:space="preserve"> (kW)</w:t>
            </w:r>
          </w:p>
        </w:tc>
        <w:tc>
          <w:tcPr>
            <w:tcW w:w="1018" w:type="dxa"/>
            <w:hideMark/>
          </w:tcPr>
          <w:p w14:paraId="612A0F27" w14:textId="648CF25C" w:rsidR="003262C3" w:rsidRPr="009F31DD" w:rsidRDefault="00471395" w:rsidP="00FF4930">
            <w:pPr>
              <w:pStyle w:val="Els-body-text"/>
              <w:rPr>
                <w:lang w:val="fr-CH"/>
              </w:rPr>
            </w:pPr>
            <w:r>
              <w:rPr>
                <w:lang w:val="fr-CH"/>
              </w:rPr>
              <w:t>268.3</w:t>
            </w:r>
          </w:p>
        </w:tc>
        <w:tc>
          <w:tcPr>
            <w:tcW w:w="1250" w:type="dxa"/>
            <w:hideMark/>
          </w:tcPr>
          <w:p w14:paraId="25942BE7" w14:textId="28D6AA0E" w:rsidR="003262C3" w:rsidRPr="009F31DD" w:rsidRDefault="00471395" w:rsidP="00FF4930">
            <w:pPr>
              <w:pStyle w:val="Els-body-text"/>
              <w:rPr>
                <w:lang w:val="fr-CH"/>
              </w:rPr>
            </w:pPr>
            <w:r>
              <w:rPr>
                <w:lang w:val="fr-CH"/>
              </w:rPr>
              <w:t>270.8</w:t>
            </w:r>
          </w:p>
        </w:tc>
        <w:tc>
          <w:tcPr>
            <w:tcW w:w="1418" w:type="dxa"/>
            <w:hideMark/>
          </w:tcPr>
          <w:p w14:paraId="40650380" w14:textId="3F5CF601" w:rsidR="003262C3" w:rsidRPr="009F31DD" w:rsidRDefault="00471395" w:rsidP="00FF4930">
            <w:pPr>
              <w:pStyle w:val="Els-body-text"/>
              <w:rPr>
                <w:lang w:val="fr-CH"/>
              </w:rPr>
            </w:pPr>
            <w:r>
              <w:rPr>
                <w:lang w:val="fr-CH"/>
              </w:rPr>
              <w:t>267.5</w:t>
            </w:r>
          </w:p>
        </w:tc>
      </w:tr>
      <w:tr w:rsidR="003262C3" w:rsidRPr="009F31DD" w14:paraId="7324F97E" w14:textId="77777777" w:rsidTr="00471395">
        <w:trPr>
          <w:cnfStyle w:val="000000100000" w:firstRow="0" w:lastRow="0" w:firstColumn="0" w:lastColumn="0" w:oddVBand="0" w:evenVBand="0" w:oddHBand="1" w:evenHBand="0" w:firstRowFirstColumn="0" w:firstRowLastColumn="0" w:lastRowFirstColumn="0" w:lastRowLastColumn="0"/>
          <w:trHeight w:val="459"/>
        </w:trPr>
        <w:tc>
          <w:tcPr>
            <w:tcW w:w="2972" w:type="dxa"/>
            <w:hideMark/>
          </w:tcPr>
          <w:p w14:paraId="170E574C" w14:textId="50C29BFC" w:rsidR="003262C3" w:rsidRPr="009F31DD" w:rsidRDefault="003262C3" w:rsidP="00FF4930">
            <w:pPr>
              <w:pStyle w:val="Els-body-text"/>
              <w:rPr>
                <w:b/>
                <w:bCs/>
                <w:i/>
                <w:iCs/>
                <w:sz w:val="18"/>
                <w:szCs w:val="18"/>
                <w:lang w:val="fr-CH"/>
              </w:rPr>
            </w:pPr>
            <w:proofErr w:type="spellStart"/>
            <w:r>
              <w:rPr>
                <w:b/>
                <w:bCs/>
                <w:i/>
                <w:iCs/>
                <w:sz w:val="18"/>
                <w:szCs w:val="18"/>
                <w:lang w:val="fr-CH"/>
              </w:rPr>
              <w:t>Efficiency</w:t>
            </w:r>
            <w:proofErr w:type="spellEnd"/>
            <w:r w:rsidR="00471395">
              <w:rPr>
                <w:b/>
                <w:bCs/>
                <w:i/>
                <w:iCs/>
                <w:sz w:val="18"/>
                <w:szCs w:val="18"/>
                <w:lang w:val="fr-CH"/>
              </w:rPr>
              <w:t xml:space="preserve"> (%)</w:t>
            </w:r>
          </w:p>
        </w:tc>
        <w:tc>
          <w:tcPr>
            <w:tcW w:w="1018" w:type="dxa"/>
            <w:hideMark/>
          </w:tcPr>
          <w:p w14:paraId="1C37B948" w14:textId="53A0DE04" w:rsidR="003262C3" w:rsidRPr="009F31DD" w:rsidRDefault="00471395" w:rsidP="00FF4930">
            <w:pPr>
              <w:pStyle w:val="Els-body-text"/>
              <w:rPr>
                <w:lang w:val="fr-CH"/>
              </w:rPr>
            </w:pPr>
            <w:r>
              <w:rPr>
                <w:lang w:val="fr-CH"/>
              </w:rPr>
              <w:t>8.83</w:t>
            </w:r>
          </w:p>
        </w:tc>
        <w:tc>
          <w:tcPr>
            <w:tcW w:w="1250" w:type="dxa"/>
            <w:hideMark/>
          </w:tcPr>
          <w:p w14:paraId="20CBBB40" w14:textId="4E3E48F3" w:rsidR="00471395" w:rsidRPr="00471395" w:rsidRDefault="00471395" w:rsidP="00471395">
            <w:pPr>
              <w:pStyle w:val="Els-body-text"/>
              <w:rPr>
                <w:lang w:val="fr-CH"/>
              </w:rPr>
            </w:pPr>
            <w:r>
              <w:rPr>
                <w:lang w:val="fr-CH"/>
              </w:rPr>
              <w:t>8.91</w:t>
            </w:r>
          </w:p>
        </w:tc>
        <w:tc>
          <w:tcPr>
            <w:tcW w:w="1418" w:type="dxa"/>
            <w:hideMark/>
          </w:tcPr>
          <w:p w14:paraId="42DB53A7" w14:textId="1233BCBE" w:rsidR="003262C3" w:rsidRPr="009F31DD" w:rsidRDefault="00471395" w:rsidP="00FF4930">
            <w:pPr>
              <w:pStyle w:val="Els-body-text"/>
              <w:rPr>
                <w:lang w:val="fr-CH"/>
              </w:rPr>
            </w:pPr>
            <w:r>
              <w:rPr>
                <w:lang w:val="fr-CH"/>
              </w:rPr>
              <w:t>8.8</w:t>
            </w:r>
          </w:p>
        </w:tc>
      </w:tr>
    </w:tbl>
    <w:p w14:paraId="5B58A984" w14:textId="77777777" w:rsidR="004D4331" w:rsidRDefault="004D4331" w:rsidP="00EC4A19">
      <w:pPr>
        <w:pStyle w:val="Els-body-text"/>
        <w:rPr>
          <w:lang w:val="en-GB"/>
        </w:rPr>
      </w:pPr>
    </w:p>
    <w:p w14:paraId="4D268411" w14:textId="77777777" w:rsidR="004D4331" w:rsidRDefault="004D4331" w:rsidP="00EC4A19">
      <w:pPr>
        <w:pStyle w:val="Els-body-text"/>
        <w:rPr>
          <w:lang w:val="en-GB"/>
        </w:rPr>
      </w:pPr>
    </w:p>
    <w:p w14:paraId="176A66A1" w14:textId="77777777" w:rsidR="004D4331" w:rsidRDefault="004D4331" w:rsidP="00EC4A19">
      <w:pPr>
        <w:pStyle w:val="Els-body-text"/>
        <w:rPr>
          <w:lang w:val="en-GB"/>
        </w:rPr>
      </w:pPr>
    </w:p>
    <w:p w14:paraId="766E84E8" w14:textId="28878094" w:rsidR="00EC4A19" w:rsidRPr="00F10697" w:rsidRDefault="00EC4A19" w:rsidP="00EC4A19">
      <w:pPr>
        <w:pStyle w:val="Els-body-text"/>
        <w:rPr>
          <w:b/>
          <w:bCs/>
          <w:lang w:val="en-GB"/>
        </w:rPr>
      </w:pPr>
      <w:r>
        <w:rPr>
          <w:b/>
          <w:bCs/>
          <w:lang w:val="en-GB"/>
        </w:rPr>
        <w:t>2.</w:t>
      </w:r>
      <w:r w:rsidR="004D4331">
        <w:rPr>
          <w:b/>
          <w:bCs/>
          <w:lang w:val="en-GB"/>
        </w:rPr>
        <w:t>1</w:t>
      </w:r>
      <w:r>
        <w:rPr>
          <w:b/>
          <w:bCs/>
          <w:lang w:val="en-GB"/>
        </w:rPr>
        <w:t xml:space="preserve"> </w:t>
      </w:r>
      <w:r w:rsidRPr="00F10697">
        <w:rPr>
          <w:b/>
          <w:bCs/>
          <w:lang w:val="en-GB"/>
        </w:rPr>
        <w:t>Thermal Efficiencies comparison</w:t>
      </w:r>
    </w:p>
    <w:p w14:paraId="20D4355A" w14:textId="715C69B5" w:rsidR="00EC4A19" w:rsidRDefault="00EC4A19" w:rsidP="00EC4A19">
      <w:pPr>
        <w:pStyle w:val="Els-body-text"/>
        <w:rPr>
          <w:lang w:val="en-GB"/>
        </w:rPr>
      </w:pPr>
      <w:r w:rsidRPr="002D3638">
        <w:rPr>
          <w:lang w:val="en-GB"/>
        </w:rPr>
        <w:t>Furthermore, the efficiencies of these fluids, as delineated in Figure 2 (</w:t>
      </w:r>
      <w:r w:rsidR="00471395">
        <w:rPr>
          <w:lang w:val="en-GB"/>
        </w:rPr>
        <w:t>a</w:t>
      </w:r>
      <w:r w:rsidRPr="002D3638">
        <w:rPr>
          <w:lang w:val="en-GB"/>
        </w:rPr>
        <w:t>), provide critical insights into the thermodynamic characteristics of each working fluid, thereby aiding in the selection of the most suitable medium for waste heat recovery.</w:t>
      </w:r>
      <w:r>
        <w:rPr>
          <w:lang w:val="en-GB"/>
        </w:rPr>
        <w:t xml:space="preserve"> In the context of </w:t>
      </w:r>
      <w:r w:rsidRPr="002D3638">
        <w:rPr>
          <w:lang w:val="en-GB"/>
        </w:rPr>
        <w:t xml:space="preserve">waste heat recovery for data centres, thermal efficiency and electric power generation are paramount. A high thermal efficiency signifies the effective utilization of waste heat, reducing operational costs and environmental impact. This is particularly vital for data centres with their energy-intensive operations. The electric power generated by the Organic Rankine Cycle (ORC) system represents a tangible output that can offset electricity consumption within data centres, enhancing their </w:t>
      </w:r>
      <w:r>
        <w:rPr>
          <w:lang w:val="en-GB"/>
        </w:rPr>
        <w:t xml:space="preserve">Power Usage Effectiveness (PUE), </w:t>
      </w:r>
      <w:r w:rsidRPr="002D3638">
        <w:rPr>
          <w:lang w:val="en-GB"/>
        </w:rPr>
        <w:t>sustainability and reducing their reliance on conventional power sources</w:t>
      </w:r>
      <w:r w:rsidR="00BF4BF1">
        <w:rPr>
          <w:lang w:val="en-GB"/>
        </w:rPr>
        <w:t>, like discussed in Lei et.al (2020)</w:t>
      </w:r>
      <w:r>
        <w:rPr>
          <w:lang w:val="en-GB"/>
        </w:rPr>
        <w:fldChar w:fldCharType="begin"/>
      </w:r>
      <w:r w:rsidR="004D4331">
        <w:rPr>
          <w:lang w:val="en-GB"/>
        </w:rPr>
        <w:instrText xml:space="preserve"> ADDIN ZOTERO_ITEM CSL_CITATION {"citationID":"ygsb7ORG","properties":{"formattedCitation":"\\super 9\\nosupersub{}","plainCitation":"9","noteIndex":0},"citationItems":[{"id":7675,"uris":["http://zotero.org/users/12656915/items/X56GPKTQ"],"itemData":{"id":7675,"type":"article-journal","abstract":"This paper presents a statistical framework for predictive analysis of data center power usage effectiveness (PUE), with a focus on hyperscale data centers (HDCs). Thermodynamics-based PUE models considering representative economizer choices are proposed, taking climate variables and energy system parameters as inputs for robust PUE predictions. Sobol’s method is used to assess total order sensitivity indices of key modeling parameters, suggesting that climate variables and uninterruptible power supply (UPS) efficiencies are the most important parameters. The PUE values of 17 HDCs operated by Google and Facebook were predicted, considering location-specific weather conditions, and uncertainties in energy system parameters and economizer choices. Results were verified using reported PUE values, indicating the model’s effectiveness in capturing regional and seasonal PUE variations, and in generating point-estimations for macro-level data center (DC) energy models. Finally, achievable PUE values were computed through differential evolution, identifying minimum practical PUE values that could be obtained with state-of-the-art technologies. The framework can be applied in predictions of location-specific PUE values, PUE improvement analysis, and PUE target-setting by policy makers.","container-title":"Energy","DOI":"10.1016/j.energy.2020.117556","ISSN":"0360-5442","journalAbbreviation":"Energy","page":"117556","source":"ScienceDirect","title":"Statistical analysis for predicting location-specific data center PUE and its improvement potential","volume":"201","author":[{"family":"Lei","given":"Nuoa"},{"family":"Masanet","given":"Eric"}],"issued":{"date-parts":[["2020",6,15]]}}}],"schema":"https://github.com/citation-style-language/schema/raw/master/csl-citation.json"} </w:instrText>
      </w:r>
      <w:r>
        <w:rPr>
          <w:lang w:val="en-GB"/>
        </w:rPr>
        <w:fldChar w:fldCharType="separate"/>
      </w:r>
      <w:r w:rsidR="004D4331" w:rsidRPr="004D4331">
        <w:rPr>
          <w:vertAlign w:val="superscript"/>
          <w:lang w:val="en-GB"/>
        </w:rPr>
        <w:t>9</w:t>
      </w:r>
      <w:r>
        <w:rPr>
          <w:lang w:val="en-GB"/>
        </w:rPr>
        <w:fldChar w:fldCharType="end"/>
      </w:r>
      <w:r w:rsidRPr="002D3638">
        <w:rPr>
          <w:lang w:val="en-GB"/>
        </w:rPr>
        <w:t>. In this regard, optimizing the thermal efficiency of ORC systems holds significant promise for the efficient and eco-friendly operation of data centres</w:t>
      </w:r>
      <w:r>
        <w:rPr>
          <w:lang w:val="en-GB"/>
        </w:rPr>
        <w:t xml:space="preserve"> and of the three fluids considered in this study, R245fa like mentioned before, seems to have the most electricity generation for a given amount of heat supplied between these temperature limits</w:t>
      </w:r>
      <w:r w:rsidRPr="002D3638">
        <w:rPr>
          <w:lang w:val="en-GB"/>
        </w:rPr>
        <w:t>.</w:t>
      </w:r>
      <w:r>
        <w:rPr>
          <w:lang w:val="en-GB"/>
        </w:rPr>
        <w:t xml:space="preserve"> </w:t>
      </w:r>
    </w:p>
    <w:p w14:paraId="72E5A86B" w14:textId="77777777" w:rsidR="00B70BE7" w:rsidRDefault="00B70BE7" w:rsidP="00EC4A19">
      <w:pPr>
        <w:pStyle w:val="Els-body-text"/>
        <w:rPr>
          <w:lang w:val="en-GB"/>
        </w:rPr>
      </w:pPr>
    </w:p>
    <w:p w14:paraId="5A325355" w14:textId="01502A96" w:rsidR="00B70BE7" w:rsidRPr="00F10697" w:rsidRDefault="00B70BE7" w:rsidP="00B70BE7">
      <w:pPr>
        <w:pStyle w:val="Els-body-text"/>
        <w:rPr>
          <w:b/>
          <w:bCs/>
          <w:lang w:val="en-GB"/>
        </w:rPr>
      </w:pPr>
      <w:r w:rsidRPr="00F10697">
        <w:rPr>
          <w:b/>
          <w:bCs/>
          <w:lang w:val="en-GB"/>
        </w:rPr>
        <w:t>2.</w:t>
      </w:r>
      <w:r w:rsidR="004D4331">
        <w:rPr>
          <w:b/>
          <w:bCs/>
          <w:lang w:val="en-GB"/>
        </w:rPr>
        <w:t>2</w:t>
      </w:r>
      <w:r w:rsidRPr="00F10697">
        <w:rPr>
          <w:b/>
          <w:bCs/>
          <w:lang w:val="en-GB"/>
        </w:rPr>
        <w:t xml:space="preserve"> Integrated Composite Curves</w:t>
      </w:r>
    </w:p>
    <w:p w14:paraId="25018FE0" w14:textId="3498DA7F" w:rsidR="00EC4A19" w:rsidRDefault="00B70BE7" w:rsidP="00EC4A19">
      <w:pPr>
        <w:pStyle w:val="Els-body-text"/>
        <w:rPr>
          <w:lang w:val="en-GB"/>
        </w:rPr>
      </w:pPr>
      <w:r w:rsidRPr="00AC14AB">
        <w:rPr>
          <w:lang w:val="en-GB"/>
        </w:rPr>
        <w:t>Integrated composite curves provide a graphical representation of heat exchange profiles in energy systems, revealing temperature pinch points and aiding in optimization.</w:t>
      </w:r>
      <w:r w:rsidRPr="002D3638">
        <w:t xml:space="preserve"> </w:t>
      </w:r>
      <w:r w:rsidRPr="002D3638">
        <w:rPr>
          <w:lang w:val="en-GB"/>
        </w:rPr>
        <w:t>In the context of Organic Rankine Cycles (ORCs) operating between a waste heat source at 85</w:t>
      </w:r>
      <w:r>
        <w:rPr>
          <w:lang w:val="en-GB"/>
        </w:rPr>
        <w:t xml:space="preserve"> </w:t>
      </w:r>
      <w:r w:rsidRPr="002D3638">
        <w:rPr>
          <w:lang w:val="en-GB"/>
        </w:rPr>
        <w:t>°C and a cold stream at 20</w:t>
      </w:r>
      <w:r>
        <w:rPr>
          <w:lang w:val="en-GB"/>
        </w:rPr>
        <w:t xml:space="preserve"> </w:t>
      </w:r>
      <w:r w:rsidRPr="002D3638">
        <w:rPr>
          <w:lang w:val="en-GB"/>
        </w:rPr>
        <w:t>°C, the integrated composite curves, as depicted in Figure 2 (</w:t>
      </w:r>
      <w:r w:rsidR="00471395">
        <w:rPr>
          <w:lang w:val="en-GB"/>
        </w:rPr>
        <w:t>b</w:t>
      </w:r>
      <w:r w:rsidRPr="002D3638">
        <w:rPr>
          <w:lang w:val="en-GB"/>
        </w:rPr>
        <w:t xml:space="preserve">), </w:t>
      </w:r>
      <w:r w:rsidR="00471395">
        <w:rPr>
          <w:lang w:val="en-GB"/>
        </w:rPr>
        <w:t>(c</w:t>
      </w:r>
      <w:r w:rsidRPr="002D3638">
        <w:rPr>
          <w:lang w:val="en-GB"/>
        </w:rPr>
        <w:t>), and (</w:t>
      </w:r>
      <w:r w:rsidR="00471395">
        <w:rPr>
          <w:lang w:val="en-GB"/>
        </w:rPr>
        <w:t>d</w:t>
      </w:r>
      <w:r w:rsidRPr="002D3638">
        <w:rPr>
          <w:lang w:val="en-GB"/>
        </w:rPr>
        <w:t xml:space="preserve">), serve as vital tools for optimizing energy recovery systems. These curves offer a comprehensive visual representation of heat exchange dynamics, enabling the identification of temperature pinch points and facilitating the assessment of energy utilization. </w:t>
      </w:r>
      <w:r>
        <w:rPr>
          <w:lang w:val="en-GB"/>
        </w:rPr>
        <w:t>Particularly</w:t>
      </w:r>
      <w:r w:rsidRPr="002D3638">
        <w:rPr>
          <w:lang w:val="en-GB"/>
        </w:rPr>
        <w:t>, in the comparison of three distinct working fluids</w:t>
      </w:r>
      <w:r>
        <w:rPr>
          <w:lang w:val="en-GB"/>
        </w:rPr>
        <w:t xml:space="preserve"> </w:t>
      </w:r>
      <w:r w:rsidRPr="002D3638">
        <w:rPr>
          <w:lang w:val="en-GB"/>
        </w:rPr>
        <w:t>R245fa, R1234zeE, and R134a</w:t>
      </w:r>
      <w:r>
        <w:rPr>
          <w:lang w:val="en-GB"/>
        </w:rPr>
        <w:t xml:space="preserve">, </w:t>
      </w:r>
      <w:r w:rsidRPr="002D3638">
        <w:rPr>
          <w:lang w:val="en-GB"/>
        </w:rPr>
        <w:t>it is evident, as illustrated in Figure 2 (</w:t>
      </w:r>
      <w:r w:rsidR="00471395">
        <w:rPr>
          <w:lang w:val="en-GB"/>
        </w:rPr>
        <w:t>b</w:t>
      </w:r>
      <w:r w:rsidRPr="002D3638">
        <w:rPr>
          <w:lang w:val="en-GB"/>
        </w:rPr>
        <w:t xml:space="preserve">), that R245fa yields the highest power output, underscoring its </w:t>
      </w:r>
      <w:r>
        <w:rPr>
          <w:lang w:val="en-GB"/>
        </w:rPr>
        <w:t>bette</w:t>
      </w:r>
      <w:r w:rsidRPr="002D3638">
        <w:rPr>
          <w:lang w:val="en-GB"/>
        </w:rPr>
        <w:t xml:space="preserve">r performance in this specific application. </w:t>
      </w:r>
    </w:p>
    <w:p w14:paraId="4269EF21" w14:textId="798BD901" w:rsidR="00EC4A19" w:rsidRDefault="00E0292E" w:rsidP="00EC4A19">
      <w:pPr>
        <w:pStyle w:val="Els-body-text"/>
        <w:rPr>
          <w:lang w:val="en-GB"/>
        </w:rPr>
      </w:pPr>
      <w:r>
        <w:rPr>
          <w:noProof/>
          <w:lang w:val="en-GB"/>
        </w:rPr>
        <w:lastRenderedPageBreak/>
        <w:drawing>
          <wp:inline distT="0" distB="0" distL="0" distR="0" wp14:anchorId="0510EC82" wp14:editId="7C16CE0C">
            <wp:extent cx="4499610" cy="3097530"/>
            <wp:effectExtent l="0" t="0" r="0" b="0"/>
            <wp:docPr id="1377027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027304" name="Picture 137702730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99610" cy="3097530"/>
                    </a:xfrm>
                    <a:prstGeom prst="rect">
                      <a:avLst/>
                    </a:prstGeom>
                  </pic:spPr>
                </pic:pic>
              </a:graphicData>
            </a:graphic>
          </wp:inline>
        </w:drawing>
      </w:r>
    </w:p>
    <w:p w14:paraId="42E7DCF2" w14:textId="77777777" w:rsidR="00EC4A19" w:rsidRDefault="00EC4A19" w:rsidP="00EC4A19">
      <w:pPr>
        <w:pStyle w:val="Els-body-text"/>
        <w:rPr>
          <w:lang w:val="en-GB"/>
        </w:rPr>
      </w:pPr>
    </w:p>
    <w:p w14:paraId="3C8ECC24" w14:textId="3C3ADAF2" w:rsidR="00EC4A19" w:rsidRDefault="00EC4A19" w:rsidP="00EC4A19">
      <w:pPr>
        <w:pStyle w:val="Els-body-text"/>
        <w:rPr>
          <w:i/>
          <w:iCs/>
          <w:lang w:val="en-GB"/>
        </w:rPr>
      </w:pPr>
      <w:r w:rsidRPr="00F10697">
        <w:rPr>
          <w:i/>
          <w:iCs/>
          <w:lang w:val="en-GB"/>
        </w:rPr>
        <w:t xml:space="preserve">Figure 2: </w:t>
      </w:r>
      <w:r w:rsidR="00471395" w:rsidRPr="00F10697">
        <w:rPr>
          <w:i/>
          <w:iCs/>
          <w:lang w:val="en-GB"/>
        </w:rPr>
        <w:t>(</w:t>
      </w:r>
      <w:r w:rsidR="00471395">
        <w:rPr>
          <w:i/>
          <w:iCs/>
          <w:lang w:val="en-GB"/>
        </w:rPr>
        <w:t>a</w:t>
      </w:r>
      <w:r w:rsidR="00471395" w:rsidRPr="00F10697">
        <w:rPr>
          <w:i/>
          <w:iCs/>
          <w:lang w:val="en-GB"/>
        </w:rPr>
        <w:t>) Thermal efficiencies of the ORCs, when using these fluids</w:t>
      </w:r>
      <w:r w:rsidR="00471395">
        <w:rPr>
          <w:i/>
          <w:iCs/>
          <w:lang w:val="en-GB"/>
        </w:rPr>
        <w:t xml:space="preserve">. </w:t>
      </w:r>
      <w:r w:rsidRPr="00F10697">
        <w:rPr>
          <w:i/>
          <w:iCs/>
          <w:lang w:val="en-GB"/>
        </w:rPr>
        <w:t>Integrated Composite Curves of a (</w:t>
      </w:r>
      <w:r w:rsidR="00471395">
        <w:rPr>
          <w:i/>
          <w:iCs/>
          <w:lang w:val="en-GB"/>
        </w:rPr>
        <w:t>b</w:t>
      </w:r>
      <w:r w:rsidRPr="00F10697">
        <w:rPr>
          <w:i/>
          <w:iCs/>
          <w:lang w:val="en-GB"/>
        </w:rPr>
        <w:t>) R245fa (dry), (</w:t>
      </w:r>
      <w:r w:rsidR="00471395">
        <w:rPr>
          <w:i/>
          <w:iCs/>
          <w:lang w:val="en-GB"/>
        </w:rPr>
        <w:t>c</w:t>
      </w:r>
      <w:r w:rsidRPr="00F10697">
        <w:rPr>
          <w:i/>
          <w:iCs/>
          <w:lang w:val="en-GB"/>
        </w:rPr>
        <w:t>) R134a (wet) and (</w:t>
      </w:r>
      <w:r w:rsidR="00471395">
        <w:rPr>
          <w:i/>
          <w:iCs/>
          <w:lang w:val="en-GB"/>
        </w:rPr>
        <w:t>d</w:t>
      </w:r>
      <w:r w:rsidRPr="00F10697">
        <w:rPr>
          <w:i/>
          <w:iCs/>
          <w:lang w:val="en-GB"/>
        </w:rPr>
        <w:t xml:space="preserve">) R1234zeE (isentropic) working fluids with in the same temperature bounds </w:t>
      </w:r>
    </w:p>
    <w:p w14:paraId="02611046" w14:textId="77777777" w:rsidR="009C4D4C" w:rsidRDefault="009C4D4C" w:rsidP="00EC4A19">
      <w:pPr>
        <w:pStyle w:val="Els-body-text"/>
        <w:rPr>
          <w:i/>
          <w:iCs/>
          <w:lang w:val="en-GB"/>
        </w:rPr>
      </w:pPr>
    </w:p>
    <w:p w14:paraId="7A79DBFA" w14:textId="77777777" w:rsidR="00EC4A19" w:rsidRDefault="00EC4A19" w:rsidP="005D452E">
      <w:pPr>
        <w:pStyle w:val="Els-1storder-head"/>
      </w:pPr>
      <w:r w:rsidRPr="00A94774">
        <w:t>Conclusions</w:t>
      </w:r>
    </w:p>
    <w:p w14:paraId="2FF8F7F0" w14:textId="7542D141" w:rsidR="00EC4A19" w:rsidRPr="00187ED7" w:rsidRDefault="00EC4A19" w:rsidP="00EC4A19">
      <w:pPr>
        <w:pStyle w:val="Els-body-text"/>
        <w:rPr>
          <w:lang w:val="en-GB"/>
        </w:rPr>
      </w:pPr>
      <w:r w:rsidRPr="002D3638">
        <w:rPr>
          <w:lang w:val="en-GB"/>
        </w:rPr>
        <w:t xml:space="preserve">In summary, the investigation of three distinct working fluids in the context of waste heat recovery from data </w:t>
      </w:r>
      <w:proofErr w:type="spellStart"/>
      <w:r w:rsidRPr="002D3638">
        <w:rPr>
          <w:lang w:val="en-GB"/>
        </w:rPr>
        <w:t>centers</w:t>
      </w:r>
      <w:proofErr w:type="spellEnd"/>
      <w:r w:rsidRPr="002D3638">
        <w:rPr>
          <w:lang w:val="en-GB"/>
        </w:rPr>
        <w:t xml:space="preserve"> using Organic Rankine Cycles has revealed their comparative performance. Despite variations in efficiency, these fluids demonstrate nearly equivalent overall efficacy, affording the opportunity to consider other critical factors in the selection process. Such factors encompass environmental impact</w:t>
      </w:r>
      <w:r>
        <w:rPr>
          <w:lang w:val="en-GB"/>
        </w:rPr>
        <w:t xml:space="preserve"> like the GWP100</w:t>
      </w:r>
      <w:r w:rsidRPr="002D3638">
        <w:rPr>
          <w:lang w:val="en-GB"/>
        </w:rPr>
        <w:t xml:space="preserve">, specifically in the event of a leakage, as well as the optimization of the system with regard to objective functions extending beyond operational expenses. This study serves as a catalyst for forthcoming research endeavours in the realm of waste heat recovery, advocating a comprehensive approach to decision-making and the exploration of diverse avenues for advancing the sustainability of data </w:t>
      </w:r>
      <w:proofErr w:type="spellStart"/>
      <w:r w:rsidRPr="002D3638">
        <w:rPr>
          <w:lang w:val="en-GB"/>
        </w:rPr>
        <w:t>center</w:t>
      </w:r>
      <w:proofErr w:type="spellEnd"/>
      <w:r w:rsidRPr="002D3638">
        <w:rPr>
          <w:lang w:val="en-GB"/>
        </w:rPr>
        <w:t xml:space="preserve"> operations. Future research directions may encompass a more profound exploration of the long-term environmental repercussions, system reliability, and multi-objective optimization techniques, contributing to the refinement of working fluid selection and its implementation in waste heat recovery systems.</w:t>
      </w:r>
    </w:p>
    <w:p w14:paraId="144DE6BF" w14:textId="608D0AD6" w:rsidR="008D2649" w:rsidRDefault="008D2649" w:rsidP="008D2649">
      <w:pPr>
        <w:pStyle w:val="Els-reference-head"/>
      </w:pPr>
      <w:r>
        <w:lastRenderedPageBreak/>
        <w:t>References</w:t>
      </w:r>
    </w:p>
    <w:p w14:paraId="50A56624" w14:textId="77777777" w:rsidR="004D4331" w:rsidRPr="004D4331" w:rsidRDefault="00EC4A19" w:rsidP="004D4331">
      <w:pPr>
        <w:pStyle w:val="Bibliography"/>
        <w:rPr>
          <w:sz w:val="18"/>
        </w:rPr>
      </w:pPr>
      <w:r>
        <w:rPr>
          <w:lang w:val="en-US"/>
        </w:rPr>
        <w:fldChar w:fldCharType="begin"/>
      </w:r>
      <w:r>
        <w:rPr>
          <w:lang w:val="en-US"/>
        </w:rPr>
        <w:instrText xml:space="preserve"> ADDIN ZOTERO_BIBL {"uncited":[],"omitted":[],"custom":[]} CSL_BIBLIOGRAPHY </w:instrText>
      </w:r>
      <w:r>
        <w:rPr>
          <w:lang w:val="en-US"/>
        </w:rPr>
        <w:fldChar w:fldCharType="separate"/>
      </w:r>
      <w:r w:rsidR="004D4331" w:rsidRPr="004D4331">
        <w:rPr>
          <w:sz w:val="18"/>
        </w:rPr>
        <w:t>1.</w:t>
      </w:r>
      <w:r w:rsidR="004D4331" w:rsidRPr="004D4331">
        <w:rPr>
          <w:sz w:val="18"/>
        </w:rPr>
        <w:tab/>
        <w:t>Reducing carbon emissions: EU targets and policies | News | European Parliament. https://www.europarl.europa.eu/news/en/headlines/society/20180305STO99003/reducing-carbon-emissions-eu-targets-and-policies (2018).</w:t>
      </w:r>
    </w:p>
    <w:p w14:paraId="744C5FCC" w14:textId="77777777" w:rsidR="004D4331" w:rsidRPr="004D4331" w:rsidRDefault="004D4331" w:rsidP="004D4331">
      <w:pPr>
        <w:pStyle w:val="Bibliography"/>
        <w:rPr>
          <w:sz w:val="18"/>
        </w:rPr>
      </w:pPr>
      <w:r w:rsidRPr="004D4331">
        <w:rPr>
          <w:sz w:val="18"/>
        </w:rPr>
        <w:t>2.</w:t>
      </w:r>
      <w:r w:rsidRPr="004D4331">
        <w:rPr>
          <w:sz w:val="18"/>
        </w:rPr>
        <w:tab/>
        <w:t xml:space="preserve">Oro, E., Taddeo, P. &amp; Salom, J. Waste heat recovery from urban air cooled data centres to increase energy efficiency of district heating networks. </w:t>
      </w:r>
      <w:r w:rsidRPr="004D4331">
        <w:rPr>
          <w:i/>
          <w:iCs/>
          <w:sz w:val="18"/>
        </w:rPr>
        <w:t>Sustainable cities and society</w:t>
      </w:r>
      <w:r w:rsidRPr="004D4331">
        <w:rPr>
          <w:sz w:val="18"/>
        </w:rPr>
        <w:t xml:space="preserve"> </w:t>
      </w:r>
      <w:r w:rsidRPr="004D4331">
        <w:rPr>
          <w:b/>
          <w:bCs/>
          <w:sz w:val="18"/>
        </w:rPr>
        <w:t>45</w:t>
      </w:r>
      <w:r w:rsidRPr="004D4331">
        <w:rPr>
          <w:sz w:val="18"/>
        </w:rPr>
        <w:t>, 522–542 (2019).</w:t>
      </w:r>
    </w:p>
    <w:p w14:paraId="31040474" w14:textId="77777777" w:rsidR="004D4331" w:rsidRPr="004D4331" w:rsidRDefault="004D4331" w:rsidP="004D4331">
      <w:pPr>
        <w:pStyle w:val="Bibliography"/>
        <w:rPr>
          <w:sz w:val="18"/>
        </w:rPr>
      </w:pPr>
      <w:r w:rsidRPr="004D4331">
        <w:rPr>
          <w:sz w:val="18"/>
        </w:rPr>
        <w:t>3.</w:t>
      </w:r>
      <w:r w:rsidRPr="004D4331">
        <w:rPr>
          <w:sz w:val="18"/>
        </w:rPr>
        <w:tab/>
        <w:t xml:space="preserve">Kermani, M., Wallerand, A. S., Kantor, I. D. &amp; Maréchal, F. Generic superstructure synthesis of organic Rankine cycles for waste heat recovery in industrial processes. </w:t>
      </w:r>
      <w:r w:rsidRPr="004D4331">
        <w:rPr>
          <w:i/>
          <w:iCs/>
          <w:sz w:val="18"/>
        </w:rPr>
        <w:t>Applied energy</w:t>
      </w:r>
      <w:r w:rsidRPr="004D4331">
        <w:rPr>
          <w:sz w:val="18"/>
        </w:rPr>
        <w:t xml:space="preserve"> </w:t>
      </w:r>
      <w:r w:rsidRPr="004D4331">
        <w:rPr>
          <w:b/>
          <w:bCs/>
          <w:sz w:val="18"/>
        </w:rPr>
        <w:t>212</w:t>
      </w:r>
      <w:r w:rsidRPr="004D4331">
        <w:rPr>
          <w:sz w:val="18"/>
        </w:rPr>
        <w:t>, 1203–1225 (2018).</w:t>
      </w:r>
    </w:p>
    <w:p w14:paraId="022BACD6" w14:textId="77777777" w:rsidR="004D4331" w:rsidRPr="004D4331" w:rsidRDefault="004D4331" w:rsidP="004D4331">
      <w:pPr>
        <w:pStyle w:val="Bibliography"/>
        <w:rPr>
          <w:sz w:val="18"/>
        </w:rPr>
      </w:pPr>
      <w:r w:rsidRPr="004D4331">
        <w:rPr>
          <w:sz w:val="18"/>
        </w:rPr>
        <w:t>4.</w:t>
      </w:r>
      <w:r w:rsidRPr="004D4331">
        <w:rPr>
          <w:sz w:val="18"/>
        </w:rPr>
        <w:tab/>
        <w:t xml:space="preserve">Herath, H. M. D. P., Wijewardane, M. A., Ranasinghe, R. A. C. P. &amp; Jayasekera, J. G. A. S. Working fluid selection of Organic Rankine Cycles. </w:t>
      </w:r>
      <w:r w:rsidRPr="004D4331">
        <w:rPr>
          <w:i/>
          <w:iCs/>
          <w:sz w:val="18"/>
        </w:rPr>
        <w:t>Energy Reports</w:t>
      </w:r>
      <w:r w:rsidRPr="004D4331">
        <w:rPr>
          <w:sz w:val="18"/>
        </w:rPr>
        <w:t xml:space="preserve"> </w:t>
      </w:r>
      <w:r w:rsidRPr="004D4331">
        <w:rPr>
          <w:b/>
          <w:bCs/>
          <w:sz w:val="18"/>
        </w:rPr>
        <w:t>6</w:t>
      </w:r>
      <w:r w:rsidRPr="004D4331">
        <w:rPr>
          <w:sz w:val="18"/>
        </w:rPr>
        <w:t>, 680–686 (2020).</w:t>
      </w:r>
    </w:p>
    <w:p w14:paraId="60924749" w14:textId="77777777" w:rsidR="004D4331" w:rsidRPr="004D4331" w:rsidRDefault="004D4331" w:rsidP="004D4331">
      <w:pPr>
        <w:pStyle w:val="Bibliography"/>
        <w:rPr>
          <w:sz w:val="18"/>
        </w:rPr>
      </w:pPr>
      <w:r w:rsidRPr="004D4331">
        <w:rPr>
          <w:sz w:val="18"/>
        </w:rPr>
        <w:t>5.</w:t>
      </w:r>
      <w:r w:rsidRPr="004D4331">
        <w:rPr>
          <w:sz w:val="18"/>
        </w:rPr>
        <w:tab/>
        <w:t xml:space="preserve">Montagud-Montalvá, C., Navarro-Peris, E., Gómez-Navarro, T., Masip-Sanchis, X. &amp; Prades-Gil, C. Recovery of waste heat from data centres for decarbonisation of university campuses in a Mediterranean climate. </w:t>
      </w:r>
      <w:r w:rsidRPr="004D4331">
        <w:rPr>
          <w:i/>
          <w:iCs/>
          <w:sz w:val="18"/>
        </w:rPr>
        <w:t>Energy Conversion and Management</w:t>
      </w:r>
      <w:r w:rsidRPr="004D4331">
        <w:rPr>
          <w:sz w:val="18"/>
        </w:rPr>
        <w:t xml:space="preserve"> </w:t>
      </w:r>
      <w:r w:rsidRPr="004D4331">
        <w:rPr>
          <w:b/>
          <w:bCs/>
          <w:sz w:val="18"/>
        </w:rPr>
        <w:t>290</w:t>
      </w:r>
      <w:r w:rsidRPr="004D4331">
        <w:rPr>
          <w:sz w:val="18"/>
        </w:rPr>
        <w:t>, 117212 (2023).</w:t>
      </w:r>
    </w:p>
    <w:p w14:paraId="66C5A88A" w14:textId="77777777" w:rsidR="004D4331" w:rsidRPr="004D4331" w:rsidRDefault="004D4331" w:rsidP="004D4331">
      <w:pPr>
        <w:pStyle w:val="Bibliography"/>
        <w:rPr>
          <w:sz w:val="18"/>
        </w:rPr>
      </w:pPr>
      <w:r w:rsidRPr="004D4331">
        <w:rPr>
          <w:sz w:val="18"/>
        </w:rPr>
        <w:t>6.</w:t>
      </w:r>
      <w:r w:rsidRPr="004D4331">
        <w:rPr>
          <w:sz w:val="18"/>
        </w:rPr>
        <w:tab/>
        <w:t xml:space="preserve">Bell, I. H., Wronski, J., Quoilin, S. &amp; Lemort, V. Pure and Pseudo-pure Fluid Thermophysical Property Evaluation and the Open-Source Thermophysical Property Library CoolProp. </w:t>
      </w:r>
      <w:r w:rsidRPr="004D4331">
        <w:rPr>
          <w:i/>
          <w:iCs/>
          <w:sz w:val="18"/>
        </w:rPr>
        <w:t>Industrial &amp; Engineering Chemistry Research</w:t>
      </w:r>
      <w:r w:rsidRPr="004D4331">
        <w:rPr>
          <w:sz w:val="18"/>
        </w:rPr>
        <w:t xml:space="preserve"> </w:t>
      </w:r>
      <w:r w:rsidRPr="004D4331">
        <w:rPr>
          <w:b/>
          <w:bCs/>
          <w:sz w:val="18"/>
        </w:rPr>
        <w:t>53</w:t>
      </w:r>
      <w:r w:rsidRPr="004D4331">
        <w:rPr>
          <w:sz w:val="18"/>
        </w:rPr>
        <w:t>, 2498–2508 (2014).</w:t>
      </w:r>
    </w:p>
    <w:p w14:paraId="47DFB1FD" w14:textId="77777777" w:rsidR="004D4331" w:rsidRPr="004D4331" w:rsidRDefault="004D4331" w:rsidP="004D4331">
      <w:pPr>
        <w:pStyle w:val="Bibliography"/>
        <w:rPr>
          <w:sz w:val="18"/>
        </w:rPr>
      </w:pPr>
      <w:r w:rsidRPr="004D4331">
        <w:rPr>
          <w:sz w:val="18"/>
        </w:rPr>
        <w:t>7.</w:t>
      </w:r>
      <w:r w:rsidRPr="004D4331">
        <w:rPr>
          <w:sz w:val="18"/>
        </w:rPr>
        <w:tab/>
        <w:t xml:space="preserve">Vittorini, D., Cipollone, R. &amp; Carapellucci, R. Enhanced performances of ORC-based units for low grade waste heat recovery via evaporator layout optimization. </w:t>
      </w:r>
      <w:r w:rsidRPr="004D4331">
        <w:rPr>
          <w:i/>
          <w:iCs/>
          <w:sz w:val="18"/>
        </w:rPr>
        <w:t>Energy Conversion and Management</w:t>
      </w:r>
      <w:r w:rsidRPr="004D4331">
        <w:rPr>
          <w:sz w:val="18"/>
        </w:rPr>
        <w:t xml:space="preserve"> </w:t>
      </w:r>
      <w:r w:rsidRPr="004D4331">
        <w:rPr>
          <w:b/>
          <w:bCs/>
          <w:sz w:val="18"/>
        </w:rPr>
        <w:t>197</w:t>
      </w:r>
      <w:r w:rsidRPr="004D4331">
        <w:rPr>
          <w:sz w:val="18"/>
        </w:rPr>
        <w:t>, 111874 (2019).</w:t>
      </w:r>
    </w:p>
    <w:p w14:paraId="6BBC1A6A" w14:textId="77777777" w:rsidR="004D4331" w:rsidRPr="004D4331" w:rsidRDefault="004D4331" w:rsidP="004D4331">
      <w:pPr>
        <w:pStyle w:val="Bibliography"/>
        <w:rPr>
          <w:sz w:val="18"/>
        </w:rPr>
      </w:pPr>
      <w:r w:rsidRPr="004D4331">
        <w:rPr>
          <w:sz w:val="18"/>
        </w:rPr>
        <w:t>8.</w:t>
      </w:r>
      <w:r w:rsidRPr="004D4331">
        <w:rPr>
          <w:sz w:val="18"/>
        </w:rPr>
        <w:tab/>
        <w:t xml:space="preserve">Dai, Y., Wang, J. &amp; Gao, L. Parametric optimization and comparative study of organic Rankine cycle (ORC) for low grade waste heat recovery. </w:t>
      </w:r>
      <w:r w:rsidRPr="004D4331">
        <w:rPr>
          <w:i/>
          <w:iCs/>
          <w:sz w:val="18"/>
        </w:rPr>
        <w:t>Energy Conversion and Management</w:t>
      </w:r>
      <w:r w:rsidRPr="004D4331">
        <w:rPr>
          <w:sz w:val="18"/>
        </w:rPr>
        <w:t xml:space="preserve"> </w:t>
      </w:r>
      <w:r w:rsidRPr="004D4331">
        <w:rPr>
          <w:b/>
          <w:bCs/>
          <w:sz w:val="18"/>
        </w:rPr>
        <w:t>50</w:t>
      </w:r>
      <w:r w:rsidRPr="004D4331">
        <w:rPr>
          <w:sz w:val="18"/>
        </w:rPr>
        <w:t>, 576–582 (2009).</w:t>
      </w:r>
    </w:p>
    <w:p w14:paraId="2A4E36BE" w14:textId="77777777" w:rsidR="004D4331" w:rsidRPr="004D4331" w:rsidRDefault="004D4331" w:rsidP="004D4331">
      <w:pPr>
        <w:pStyle w:val="Bibliography"/>
        <w:rPr>
          <w:sz w:val="18"/>
        </w:rPr>
      </w:pPr>
      <w:r w:rsidRPr="004D4331">
        <w:rPr>
          <w:sz w:val="18"/>
        </w:rPr>
        <w:t>9.</w:t>
      </w:r>
      <w:r w:rsidRPr="004D4331">
        <w:rPr>
          <w:sz w:val="18"/>
        </w:rPr>
        <w:tab/>
        <w:t xml:space="preserve">Lei, N. &amp; Masanet, E. Statistical analysis for predicting location-specific data center PUE and its improvement potential. </w:t>
      </w:r>
      <w:r w:rsidRPr="004D4331">
        <w:rPr>
          <w:i/>
          <w:iCs/>
          <w:sz w:val="18"/>
        </w:rPr>
        <w:t>Energy</w:t>
      </w:r>
      <w:r w:rsidRPr="004D4331">
        <w:rPr>
          <w:sz w:val="18"/>
        </w:rPr>
        <w:t xml:space="preserve"> </w:t>
      </w:r>
      <w:r w:rsidRPr="004D4331">
        <w:rPr>
          <w:b/>
          <w:bCs/>
          <w:sz w:val="18"/>
        </w:rPr>
        <w:t>201</w:t>
      </w:r>
      <w:r w:rsidRPr="004D4331">
        <w:rPr>
          <w:sz w:val="18"/>
        </w:rPr>
        <w:t>, 117556 (2020).</w:t>
      </w:r>
    </w:p>
    <w:p w14:paraId="46C47475" w14:textId="55A6D960" w:rsidR="00EC4A19" w:rsidRDefault="00EC4A19" w:rsidP="00EC4A19">
      <w:pPr>
        <w:pStyle w:val="Els-referenceno-number"/>
        <w:jc w:val="both"/>
        <w:rPr>
          <w:lang w:val="en-US"/>
        </w:rPr>
      </w:pPr>
      <w:r>
        <w:rPr>
          <w:lang w:val="en-US"/>
        </w:rPr>
        <w:fldChar w:fldCharType="end"/>
      </w:r>
    </w:p>
    <w:p w14:paraId="144DE6C2" w14:textId="24C1AADB" w:rsidR="008D2649" w:rsidRDefault="008D2649" w:rsidP="00EC4A19">
      <w:pPr>
        <w:pStyle w:val="Els-referenceno-number"/>
        <w:rPr>
          <w:lang w:val="en-US"/>
        </w:rPr>
      </w:pPr>
    </w:p>
    <w:p w14:paraId="144DE6C3" w14:textId="77777777" w:rsidR="008D2649" w:rsidRDefault="008D2649" w:rsidP="008D2649">
      <w:pPr>
        <w:pStyle w:val="Els-referenceno-number"/>
        <w:rPr>
          <w:lang w:val="en-US"/>
        </w:rPr>
      </w:pPr>
    </w:p>
    <w:sectPr w:rsidR="008D2649" w:rsidSect="008B018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1F9F" w14:textId="77777777" w:rsidR="00570735" w:rsidRDefault="00570735">
      <w:r>
        <w:separator/>
      </w:r>
    </w:p>
  </w:endnote>
  <w:endnote w:type="continuationSeparator" w:id="0">
    <w:p w14:paraId="29408358" w14:textId="77777777" w:rsidR="00570735" w:rsidRDefault="0057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AA35" w14:textId="77777777" w:rsidR="00FF6043" w:rsidRDefault="00FF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06D4" w14:textId="77777777" w:rsidR="00FF6043" w:rsidRDefault="00FF6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E584" w14:textId="77777777" w:rsidR="00FF6043" w:rsidRDefault="00FF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4D68" w14:textId="77777777" w:rsidR="00570735" w:rsidRDefault="00570735">
      <w:r>
        <w:separator/>
      </w:r>
    </w:p>
  </w:footnote>
  <w:footnote w:type="continuationSeparator" w:id="0">
    <w:p w14:paraId="5641490D" w14:textId="77777777" w:rsidR="00570735" w:rsidRDefault="0057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w:t>
    </w:r>
    <w:proofErr w:type="spellStart"/>
    <w:r w:rsidR="00F06842" w:rsidRPr="00FF6043">
      <w:rPr>
        <w:color w:val="auto"/>
        <w:sz w:val="20"/>
        <w:szCs w:val="20"/>
      </w:rPr>
      <w:t>Manenti</w:t>
    </w:r>
    <w:proofErr w:type="spellEnd"/>
    <w:r w:rsidR="00F06842" w:rsidRPr="00FF6043">
      <w:rPr>
        <w:color w:val="auto"/>
        <w:sz w:val="20"/>
        <w:szCs w:val="20"/>
      </w:rPr>
      <w:t xml:space="preserve">, </w:t>
    </w:r>
    <w:proofErr w:type="spellStart"/>
    <w:r w:rsidR="00F06842" w:rsidRPr="00FF6043">
      <w:rPr>
        <w:color w:val="auto"/>
        <w:sz w:val="20"/>
        <w:szCs w:val="20"/>
      </w:rPr>
      <w:t>Gintaras</w:t>
    </w:r>
    <w:proofErr w:type="spellEnd"/>
    <w:r w:rsidR="00F06842" w:rsidRPr="00FF6043">
      <w:rPr>
        <w:color w:val="auto"/>
        <w:sz w:val="20"/>
        <w:szCs w:val="20"/>
      </w:rPr>
      <w:t xml:space="preserve">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9079497">
    <w:abstractNumId w:val="11"/>
  </w:num>
  <w:num w:numId="2" w16cid:durableId="1690058669">
    <w:abstractNumId w:val="11"/>
  </w:num>
  <w:num w:numId="3" w16cid:durableId="1973514197">
    <w:abstractNumId w:val="11"/>
  </w:num>
  <w:num w:numId="4" w16cid:durableId="224996570">
    <w:abstractNumId w:val="11"/>
  </w:num>
  <w:num w:numId="5" w16cid:durableId="749348909">
    <w:abstractNumId w:val="0"/>
  </w:num>
  <w:num w:numId="6" w16cid:durableId="1482427783">
    <w:abstractNumId w:val="6"/>
  </w:num>
  <w:num w:numId="7" w16cid:durableId="543830502">
    <w:abstractNumId w:val="12"/>
  </w:num>
  <w:num w:numId="8" w16cid:durableId="1017191959">
    <w:abstractNumId w:val="1"/>
  </w:num>
  <w:num w:numId="9" w16cid:durableId="2016877851">
    <w:abstractNumId w:val="10"/>
  </w:num>
  <w:num w:numId="10" w16cid:durableId="958031049">
    <w:abstractNumId w:val="14"/>
  </w:num>
  <w:num w:numId="11" w16cid:durableId="543520678">
    <w:abstractNumId w:val="13"/>
  </w:num>
  <w:num w:numId="12" w16cid:durableId="573055085">
    <w:abstractNumId w:val="5"/>
  </w:num>
  <w:num w:numId="13" w16cid:durableId="1512602139">
    <w:abstractNumId w:val="8"/>
  </w:num>
  <w:num w:numId="14" w16cid:durableId="1799059593">
    <w:abstractNumId w:val="2"/>
  </w:num>
  <w:num w:numId="15" w16cid:durableId="2019037815">
    <w:abstractNumId w:val="7"/>
  </w:num>
  <w:num w:numId="16" w16cid:durableId="25106550">
    <w:abstractNumId w:val="3"/>
  </w:num>
  <w:num w:numId="17" w16cid:durableId="953170532">
    <w:abstractNumId w:val="4"/>
  </w:num>
  <w:num w:numId="18" w16cid:durableId="17294512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1E4"/>
    <w:rsid w:val="000D3D9B"/>
    <w:rsid w:val="0016032F"/>
    <w:rsid w:val="001879F6"/>
    <w:rsid w:val="001B1DE3"/>
    <w:rsid w:val="001C0148"/>
    <w:rsid w:val="001C757E"/>
    <w:rsid w:val="001F624A"/>
    <w:rsid w:val="0020390F"/>
    <w:rsid w:val="00264926"/>
    <w:rsid w:val="0030269F"/>
    <w:rsid w:val="003262C3"/>
    <w:rsid w:val="00344D01"/>
    <w:rsid w:val="003A7CA7"/>
    <w:rsid w:val="003D1582"/>
    <w:rsid w:val="003D6027"/>
    <w:rsid w:val="003D7E4C"/>
    <w:rsid w:val="003E41C2"/>
    <w:rsid w:val="004628E9"/>
    <w:rsid w:val="00471395"/>
    <w:rsid w:val="0049772C"/>
    <w:rsid w:val="004A0CC1"/>
    <w:rsid w:val="004D4331"/>
    <w:rsid w:val="00507CB7"/>
    <w:rsid w:val="0051066B"/>
    <w:rsid w:val="00552EEB"/>
    <w:rsid w:val="00567D93"/>
    <w:rsid w:val="00570735"/>
    <w:rsid w:val="005D452E"/>
    <w:rsid w:val="006A69BF"/>
    <w:rsid w:val="006C11D1"/>
    <w:rsid w:val="006F27C4"/>
    <w:rsid w:val="00711DF4"/>
    <w:rsid w:val="007C79B6"/>
    <w:rsid w:val="007D70A1"/>
    <w:rsid w:val="007F0038"/>
    <w:rsid w:val="008132E8"/>
    <w:rsid w:val="00823407"/>
    <w:rsid w:val="008B0184"/>
    <w:rsid w:val="008C5D02"/>
    <w:rsid w:val="008D2649"/>
    <w:rsid w:val="0090568D"/>
    <w:rsid w:val="009125C9"/>
    <w:rsid w:val="00913879"/>
    <w:rsid w:val="00917661"/>
    <w:rsid w:val="00970E5D"/>
    <w:rsid w:val="0097701C"/>
    <w:rsid w:val="00980A65"/>
    <w:rsid w:val="009C4D4C"/>
    <w:rsid w:val="00A00CAA"/>
    <w:rsid w:val="00A25E70"/>
    <w:rsid w:val="00A33765"/>
    <w:rsid w:val="00A63269"/>
    <w:rsid w:val="00A92377"/>
    <w:rsid w:val="00AB29ED"/>
    <w:rsid w:val="00AE4BD8"/>
    <w:rsid w:val="00B4388F"/>
    <w:rsid w:val="00B63237"/>
    <w:rsid w:val="00B70BE7"/>
    <w:rsid w:val="00B72BA1"/>
    <w:rsid w:val="00BF4BF1"/>
    <w:rsid w:val="00C328A2"/>
    <w:rsid w:val="00C36331"/>
    <w:rsid w:val="00C831B3"/>
    <w:rsid w:val="00C960DC"/>
    <w:rsid w:val="00D02C75"/>
    <w:rsid w:val="00D10E22"/>
    <w:rsid w:val="00D13D2C"/>
    <w:rsid w:val="00DC2F94"/>
    <w:rsid w:val="00DD3D9E"/>
    <w:rsid w:val="00DD7908"/>
    <w:rsid w:val="00E0292E"/>
    <w:rsid w:val="00E82297"/>
    <w:rsid w:val="00EC4A19"/>
    <w:rsid w:val="00EF39FD"/>
    <w:rsid w:val="00F06842"/>
    <w:rsid w:val="00F107FD"/>
    <w:rsid w:val="00F83E99"/>
    <w:rsid w:val="00FB64A8"/>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Bibliography">
    <w:name w:val="Bibliography"/>
    <w:basedOn w:val="Normal"/>
    <w:next w:val="Normal"/>
    <w:uiPriority w:val="37"/>
    <w:unhideWhenUsed/>
    <w:rsid w:val="00EC4A19"/>
    <w:pPr>
      <w:tabs>
        <w:tab w:val="left" w:pos="260"/>
      </w:tabs>
      <w:spacing w:line="480" w:lineRule="auto"/>
      <w:ind w:left="264" w:hanging="264"/>
    </w:pPr>
  </w:style>
  <w:style w:type="table" w:styleId="PlainTable1">
    <w:name w:val="Plain Table 1"/>
    <w:basedOn w:val="TableNormal"/>
    <w:uiPriority w:val="41"/>
    <w:rsid w:val="00EC4A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3A7CA7"/>
    <w:rPr>
      <w:lang w:eastAsia="en-US"/>
    </w:rPr>
  </w:style>
  <w:style w:type="character" w:styleId="UnresolvedMention">
    <w:name w:val="Unresolved Mention"/>
    <w:basedOn w:val="DefaultParagraphFont"/>
    <w:uiPriority w:val="99"/>
    <w:semiHidden/>
    <w:unhideWhenUsed/>
    <w:rsid w:val="00C83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i.ravi@epfl.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0</TotalTime>
  <Pages>6</Pages>
  <Words>3973</Words>
  <Characters>22252</Characters>
  <Application>Microsoft Office Word</Application>
  <DocSecurity>0</DocSecurity>
  <Lines>505</Lines>
  <Paragraphs>220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Sai Sudharshan Ravi</cp:lastModifiedBy>
  <cp:revision>2</cp:revision>
  <cp:lastPrinted>2004-12-17T09:20:00Z</cp:lastPrinted>
  <dcterms:created xsi:type="dcterms:W3CDTF">2024-01-02T11:16:00Z</dcterms:created>
  <dcterms:modified xsi:type="dcterms:W3CDTF">2024-01-02T11:16:00Z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zotero-version="6.0.29"&gt;&lt;session id="p1ua3r7j"/&gt;&lt;style id="http://www.zotero.org/styles/nature" hasBibliography="1" bibliographyStyleHasBeenSet="1"/&gt;&lt;prefs&gt;&lt;pref name="fieldType" value="Field"/&gt;&lt;/prefs&gt;&lt;/data&gt;</vt:lpwstr>
  </property>
</Properties>
</file>